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0F3BD5" w:rsidRPr="00902155" w:rsidTr="00B6553F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0F3BD5" w:rsidRPr="00902155" w:rsidRDefault="000F3BD5" w:rsidP="00B6553F">
            <w:pPr>
              <w:spacing w:after="80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F3BD5" w:rsidRPr="00902155" w:rsidRDefault="000F3BD5" w:rsidP="00B6553F">
            <w:pPr>
              <w:spacing w:after="80" w:line="300" w:lineRule="exact"/>
              <w:rPr>
                <w:b/>
                <w:sz w:val="24"/>
                <w:szCs w:val="24"/>
                <w:lang w:val="uk-UA"/>
              </w:rPr>
            </w:pPr>
            <w:r w:rsidRPr="00902155">
              <w:rPr>
                <w:sz w:val="24"/>
                <w:szCs w:val="24"/>
                <w:lang w:val="uk-UA"/>
              </w:rPr>
              <w:t>Організація Об’єднаних Націй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:rsidR="000F3BD5" w:rsidRPr="00902155" w:rsidRDefault="000F3BD5" w:rsidP="00D44B7D">
            <w:pPr>
              <w:jc w:val="right"/>
              <w:rPr>
                <w:sz w:val="24"/>
                <w:szCs w:val="24"/>
                <w:lang w:val="uk-UA"/>
              </w:rPr>
            </w:pPr>
            <w:r w:rsidRPr="00902155">
              <w:rPr>
                <w:sz w:val="24"/>
                <w:szCs w:val="24"/>
                <w:lang w:val="uk-UA"/>
              </w:rPr>
              <w:t>CRPD/C/UKR/CO/1</w:t>
            </w:r>
          </w:p>
        </w:tc>
      </w:tr>
      <w:tr w:rsidR="000F3BD5" w:rsidRPr="00207F5F" w:rsidTr="00B6553F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0F3BD5" w:rsidRPr="00902155" w:rsidRDefault="00207F5F" w:rsidP="00B06775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717550" cy="552450"/>
                  <wp:effectExtent l="0" t="0" r="6350" b="0"/>
                  <wp:docPr id="2" name="Pictur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0F3BD5" w:rsidRPr="00902155" w:rsidRDefault="000F3BD5" w:rsidP="005B1353">
            <w:pPr>
              <w:spacing w:before="120" w:line="380" w:lineRule="exact"/>
              <w:rPr>
                <w:b/>
                <w:sz w:val="24"/>
                <w:szCs w:val="24"/>
                <w:lang w:val="uk-UA"/>
              </w:rPr>
            </w:pPr>
            <w:r w:rsidRPr="00902155">
              <w:rPr>
                <w:b/>
                <w:sz w:val="24"/>
                <w:szCs w:val="24"/>
                <w:lang w:val="uk-UA"/>
              </w:rPr>
              <w:t>Конвенція про права людей з інвалідністю</w:t>
            </w:r>
          </w:p>
          <w:p w:rsidR="000F3BD5" w:rsidRPr="00902155" w:rsidRDefault="000F3BD5" w:rsidP="00B6553F">
            <w:pPr>
              <w:spacing w:before="120" w:line="42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0F3BD5" w:rsidRPr="00902155" w:rsidRDefault="000F3BD5" w:rsidP="00270BEF">
            <w:pPr>
              <w:spacing w:before="240" w:line="240" w:lineRule="exact"/>
              <w:rPr>
                <w:sz w:val="24"/>
                <w:szCs w:val="24"/>
                <w:lang w:val="uk-UA"/>
              </w:rPr>
            </w:pPr>
            <w:proofErr w:type="spellStart"/>
            <w:r w:rsidRPr="00902155">
              <w:rPr>
                <w:sz w:val="24"/>
                <w:szCs w:val="24"/>
                <w:lang w:val="uk-UA"/>
              </w:rPr>
              <w:t>Distr</w:t>
            </w:r>
            <w:proofErr w:type="spellEnd"/>
            <w:r w:rsidRPr="00902155">
              <w:rPr>
                <w:sz w:val="24"/>
                <w:szCs w:val="24"/>
                <w:lang w:val="uk-UA"/>
              </w:rPr>
              <w:t xml:space="preserve">.: </w:t>
            </w:r>
            <w:proofErr w:type="spellStart"/>
            <w:r w:rsidRPr="00902155">
              <w:rPr>
                <w:sz w:val="24"/>
                <w:szCs w:val="24"/>
                <w:lang w:val="uk-UA"/>
              </w:rPr>
              <w:t>General</w:t>
            </w:r>
            <w:proofErr w:type="spellEnd"/>
          </w:p>
          <w:p w:rsidR="000F3BD5" w:rsidRPr="00902155" w:rsidRDefault="000F3BD5" w:rsidP="009E7DB6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2155">
              <w:rPr>
                <w:sz w:val="24"/>
                <w:szCs w:val="24"/>
                <w:lang w:val="uk-UA"/>
              </w:rPr>
              <w:t>4 вересня 2015 р.</w:t>
            </w:r>
          </w:p>
          <w:p w:rsidR="000F3BD5" w:rsidRPr="00902155" w:rsidRDefault="000F3BD5" w:rsidP="00270BEF">
            <w:pPr>
              <w:spacing w:line="240" w:lineRule="exact"/>
              <w:rPr>
                <w:b/>
                <w:sz w:val="24"/>
                <w:szCs w:val="24"/>
                <w:lang w:val="uk-UA"/>
              </w:rPr>
            </w:pPr>
            <w:r w:rsidRPr="00902155">
              <w:rPr>
                <w:b/>
                <w:sz w:val="24"/>
                <w:szCs w:val="24"/>
                <w:lang w:val="uk-UA"/>
              </w:rPr>
              <w:t>ПОПЕРЕДНЯ НЕРЕДАГОВАНА ВЕРСІЯ</w:t>
            </w:r>
          </w:p>
          <w:p w:rsidR="000F3BD5" w:rsidRPr="00902155" w:rsidRDefault="000F3BD5" w:rsidP="00270BEF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  <w:p w:rsidR="000F3BD5" w:rsidRPr="00902155" w:rsidRDefault="000F3BD5" w:rsidP="00ED418B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2155">
              <w:rPr>
                <w:sz w:val="24"/>
                <w:szCs w:val="24"/>
                <w:lang w:val="uk-UA"/>
              </w:rPr>
              <w:t>Оригінал: англійською</w:t>
            </w:r>
            <w:r w:rsidRPr="00902155">
              <w:rPr>
                <w:sz w:val="24"/>
                <w:szCs w:val="24"/>
                <w:lang w:val="uk-UA"/>
              </w:rPr>
              <w:br/>
              <w:t>Тільки англійською і іспанською</w:t>
            </w:r>
          </w:p>
        </w:tc>
      </w:tr>
    </w:tbl>
    <w:p w:rsidR="000F3BD5" w:rsidRPr="00902155" w:rsidRDefault="000F3BD5" w:rsidP="005B1353">
      <w:pPr>
        <w:spacing w:before="12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з прав людей з інвалідністю</w:t>
      </w:r>
    </w:p>
    <w:p w:rsidR="000F3BD5" w:rsidRPr="00902155" w:rsidRDefault="000F3BD5" w:rsidP="0000273B">
      <w:pPr>
        <w:pStyle w:val="HChG"/>
        <w:jc w:val="both"/>
        <w:rPr>
          <w:rFonts w:eastAsia="SimSun"/>
          <w:bCs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  <w:t>Заключні зауваження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стосовно первинного звіту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України</w:t>
      </w:r>
      <w:r w:rsidRPr="00902155">
        <w:rPr>
          <w:rFonts w:eastAsia="SimSun"/>
          <w:bCs/>
          <w:sz w:val="24"/>
          <w:szCs w:val="24"/>
          <w:vertAlign w:val="superscript"/>
          <w:lang w:val="uk-UA"/>
        </w:rPr>
        <w:footnoteReference w:customMarkFollows="1" w:id="2"/>
        <w:t xml:space="preserve">* </w:t>
      </w:r>
    </w:p>
    <w:p w:rsidR="000F3BD5" w:rsidRPr="00902155" w:rsidRDefault="000F3BD5" w:rsidP="005161BC">
      <w:pPr>
        <w:pStyle w:val="HCh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  <w:t>I.</w:t>
      </w:r>
      <w:r w:rsidRPr="00902155">
        <w:rPr>
          <w:sz w:val="24"/>
          <w:szCs w:val="24"/>
          <w:lang w:val="uk-UA"/>
        </w:rPr>
        <w:tab/>
        <w:t>Вступ</w:t>
      </w:r>
    </w:p>
    <w:p w:rsidR="000F3BD5" w:rsidRPr="00902155" w:rsidRDefault="000F3BD5" w:rsidP="00A8100B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розглянув первинний звіт України (CRPD/C</w:t>
      </w:r>
      <w:r w:rsidRPr="00902155">
        <w:rPr>
          <w:b/>
          <w:sz w:val="24"/>
          <w:szCs w:val="24"/>
          <w:lang w:val="uk-UA"/>
        </w:rPr>
        <w:t>/</w:t>
      </w:r>
      <w:r w:rsidRPr="00902155">
        <w:rPr>
          <w:sz w:val="24"/>
          <w:szCs w:val="24"/>
          <w:lang w:val="uk-UA"/>
        </w:rPr>
        <w:t>UKR/1) на своїх</w:t>
      </w:r>
      <w:r w:rsidR="00207F5F" w:rsidRPr="00207F5F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208-их</w:t>
      </w:r>
      <w:r w:rsidR="00207F5F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та 209-их</w:t>
      </w:r>
      <w:r w:rsidR="00207F5F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зборах, що проводилися, відповідно, 19 та 20 серпня 2015 року, та прийняв на своїх зборах, проведених у 2015 році, наступні заключні зауваження.</w:t>
      </w:r>
    </w:p>
    <w:p w:rsidR="000F3BD5" w:rsidRPr="00902155" w:rsidRDefault="000F3BD5" w:rsidP="0085723D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вітає первинний звіт України, підготовлений у відповідності до керівництва щодо складання звітності Комітету, та дякує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Державі-учасниці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 надані нею письмові відповіді (CRPD/C/UKR/Q/1/Add.1) на перелік питань, підготовлений Комітетом.</w:t>
      </w:r>
    </w:p>
    <w:p w:rsidR="000F3BD5" w:rsidRPr="00902155" w:rsidRDefault="000F3BD5" w:rsidP="006B4DE4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i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цінує плідний діалог,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що ведеться з делегацією Держави-учасниці,</w:t>
      </w:r>
      <w:r w:rsidR="00207F5F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та вітає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її намір надати пріоритет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правам інвалідів у всіх її майбутніх законодавчих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та інших ініціативах.</w:t>
      </w:r>
    </w:p>
    <w:p w:rsidR="000F3BD5" w:rsidRPr="00902155" w:rsidRDefault="000F3BD5" w:rsidP="003A5719">
      <w:pPr>
        <w:pStyle w:val="HCh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  <w:t>II.</w:t>
      </w:r>
      <w:r w:rsidRPr="00902155">
        <w:rPr>
          <w:sz w:val="24"/>
          <w:szCs w:val="24"/>
          <w:lang w:val="uk-UA"/>
        </w:rPr>
        <w:tab/>
        <w:t>Позитивні аспекти</w:t>
      </w:r>
    </w:p>
    <w:p w:rsidR="000F3BD5" w:rsidRPr="00902155" w:rsidRDefault="000F3BD5" w:rsidP="0085723D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вітає зусилля, яких доклала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Держава-учасниця до гармонізації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свого законодавства з положеннями Конвенції про права людей з інвалідністю, а також політики та заходи, вжиті нею для забезпечення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реалізації прав людей з інвалідністю, закріплених у Конвенції. Зокрема, він вітає:</w:t>
      </w:r>
    </w:p>
    <w:p w:rsidR="000F3BD5" w:rsidRPr="00902155" w:rsidRDefault="000F3BD5" w:rsidP="0085723D">
      <w:pPr>
        <w:pStyle w:val="SingleTxtG"/>
        <w:numPr>
          <w:ilvl w:val="0"/>
          <w:numId w:val="5"/>
        </w:numPr>
        <w:tabs>
          <w:tab w:val="left" w:pos="1701"/>
        </w:tabs>
        <w:ind w:left="1134" w:firstLine="567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Зміни від 22 грудня 2011 р. та 18 червня 2014 р. до Закону «Про основи соціального захисту інвалідів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 Україні»</w:t>
      </w:r>
      <w:r w:rsidR="00C257E4">
        <w:rPr>
          <w:sz w:val="24"/>
          <w:szCs w:val="24"/>
          <w:lang w:val="uk-UA"/>
        </w:rPr>
        <w:t xml:space="preserve"> в</w:t>
      </w:r>
      <w:r w:rsidRPr="00902155">
        <w:rPr>
          <w:sz w:val="24"/>
          <w:szCs w:val="24"/>
          <w:lang w:val="uk-UA"/>
        </w:rPr>
        <w:t>ід  21 березня 1991 р., включаючи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жестову мову у якості офіційного засобу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спілкування;</w:t>
      </w:r>
    </w:p>
    <w:p w:rsidR="000F3BD5" w:rsidRPr="00902155" w:rsidRDefault="000F3BD5" w:rsidP="0085723D">
      <w:pPr>
        <w:pStyle w:val="SingleTxtG"/>
        <w:numPr>
          <w:ilvl w:val="0"/>
          <w:numId w:val="5"/>
        </w:numPr>
        <w:tabs>
          <w:tab w:val="left" w:pos="1701"/>
        </w:tabs>
        <w:ind w:left="1134" w:firstLine="567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lastRenderedPageBreak/>
        <w:t>Зміни від 18 червня 2014 р. до статті 161 Кримінального кодексу України,</w:t>
      </w:r>
      <w:r w:rsidR="00C257E4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які вводять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карну відповідальність за дискримінацію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на підставі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інвалідності;</w:t>
      </w:r>
    </w:p>
    <w:p w:rsidR="000F3BD5" w:rsidRPr="00902155" w:rsidRDefault="000F3BD5" w:rsidP="0085723D">
      <w:pPr>
        <w:pStyle w:val="SingleTxtG"/>
        <w:numPr>
          <w:ilvl w:val="0"/>
          <w:numId w:val="5"/>
        </w:numPr>
        <w:tabs>
          <w:tab w:val="left" w:pos="1701"/>
        </w:tabs>
        <w:ind w:left="1134" w:firstLine="567"/>
        <w:rPr>
          <w:sz w:val="24"/>
          <w:szCs w:val="24"/>
          <w:lang w:val="uk-UA"/>
        </w:rPr>
      </w:pPr>
      <w:r w:rsidRPr="00902155">
        <w:rPr>
          <w:bCs/>
          <w:sz w:val="24"/>
          <w:szCs w:val="24"/>
          <w:lang w:val="uk-UA"/>
        </w:rPr>
        <w:t>Призначення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 w:eastAsia="sr-Latn-CS"/>
        </w:rPr>
        <w:t>Уповноваженого Президента України з прав людей з інвалідністю</w:t>
      </w:r>
      <w:r>
        <w:rPr>
          <w:sz w:val="24"/>
          <w:szCs w:val="24"/>
          <w:lang w:val="uk-UA" w:eastAsia="sr-Latn-CS"/>
        </w:rPr>
        <w:t xml:space="preserve"> </w:t>
      </w:r>
      <w:r w:rsidRPr="00902155">
        <w:rPr>
          <w:bCs/>
          <w:sz w:val="24"/>
          <w:szCs w:val="24"/>
          <w:lang w:val="uk-UA"/>
        </w:rPr>
        <w:t>у грудні 2014 р.;</w:t>
      </w:r>
    </w:p>
    <w:p w:rsidR="000F3BD5" w:rsidRPr="00902155" w:rsidRDefault="000F3BD5" w:rsidP="00813527">
      <w:pPr>
        <w:pStyle w:val="SingleTxtG"/>
        <w:numPr>
          <w:ilvl w:val="0"/>
          <w:numId w:val="5"/>
        </w:numPr>
        <w:tabs>
          <w:tab w:val="left" w:pos="1701"/>
        </w:tabs>
        <w:ind w:left="1134" w:firstLine="567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Державну цільову програму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 w:eastAsia="sr-Latn-CS"/>
        </w:rPr>
        <w:t>«Національний план дій з реалізації Конвенції про права людей з інвалідністю»</w:t>
      </w:r>
      <w:r w:rsidRPr="00902155">
        <w:rPr>
          <w:sz w:val="24"/>
          <w:szCs w:val="24"/>
          <w:lang w:val="uk-UA"/>
        </w:rPr>
        <w:t xml:space="preserve"> до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2020 р.;</w:t>
      </w:r>
      <w:r w:rsidR="00C257E4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та</w:t>
      </w:r>
    </w:p>
    <w:p w:rsidR="000F3BD5" w:rsidRPr="00902155" w:rsidRDefault="000F3BD5" w:rsidP="00796C77">
      <w:pPr>
        <w:pStyle w:val="SingleTxtG"/>
        <w:numPr>
          <w:ilvl w:val="0"/>
          <w:numId w:val="5"/>
        </w:numPr>
        <w:tabs>
          <w:tab w:val="left" w:pos="1701"/>
        </w:tabs>
        <w:ind w:left="1134" w:firstLine="567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План дій «</w:t>
      </w:r>
      <w:proofErr w:type="spellStart"/>
      <w:r w:rsidRPr="00902155">
        <w:rPr>
          <w:sz w:val="24"/>
          <w:szCs w:val="24"/>
          <w:lang w:val="uk-UA" w:eastAsia="sr-Latn-CS"/>
        </w:rPr>
        <w:t>Безбар’єрна</w:t>
      </w:r>
      <w:proofErr w:type="spellEnd"/>
      <w:r w:rsidRPr="00902155">
        <w:rPr>
          <w:sz w:val="24"/>
          <w:szCs w:val="24"/>
          <w:lang w:val="uk-UA" w:eastAsia="sr-Latn-CS"/>
        </w:rPr>
        <w:t xml:space="preserve"> Україна</w:t>
      </w:r>
      <w:r w:rsidRPr="00902155">
        <w:rPr>
          <w:sz w:val="24"/>
          <w:szCs w:val="24"/>
          <w:lang w:val="uk-UA"/>
        </w:rPr>
        <w:t xml:space="preserve">» для створення </w:t>
      </w:r>
      <w:r w:rsidRPr="00902155">
        <w:rPr>
          <w:sz w:val="24"/>
          <w:szCs w:val="24"/>
          <w:lang w:val="uk-UA" w:eastAsia="sr-Latn-CS"/>
        </w:rPr>
        <w:t>безперешкодного доступу людей з інвалідністю та інших груп людей з обмеженою мобільністю до транспортної та соціальної інфраструктури</w:t>
      </w:r>
      <w:r w:rsidRPr="00902155">
        <w:rPr>
          <w:sz w:val="24"/>
          <w:szCs w:val="24"/>
          <w:lang w:val="uk-UA"/>
        </w:rPr>
        <w:t xml:space="preserve"> на період з 2009 по 2015 рр.</w:t>
      </w:r>
    </w:p>
    <w:p w:rsidR="000F3BD5" w:rsidRPr="00902155" w:rsidRDefault="000F3BD5" w:rsidP="000E00D4">
      <w:pPr>
        <w:pStyle w:val="HCh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  <w:t>III.</w:t>
      </w:r>
      <w:r w:rsidRPr="00902155">
        <w:rPr>
          <w:sz w:val="24"/>
          <w:szCs w:val="24"/>
          <w:lang w:val="uk-UA"/>
        </w:rPr>
        <w:tab/>
        <w:t>Основні проблемні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питання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та рекомендації</w:t>
      </w:r>
    </w:p>
    <w:p w:rsidR="000F3BD5" w:rsidRPr="00902155" w:rsidRDefault="000F3BD5" w:rsidP="00796C77">
      <w:pPr>
        <w:pStyle w:val="H1G"/>
        <w:rPr>
          <w:szCs w:val="24"/>
          <w:lang w:val="uk-UA"/>
        </w:rPr>
      </w:pPr>
      <w:r w:rsidRPr="00902155">
        <w:rPr>
          <w:szCs w:val="24"/>
          <w:lang w:val="uk-UA"/>
        </w:rPr>
        <w:tab/>
        <w:t>A.</w:t>
      </w:r>
      <w:r w:rsidRPr="00902155">
        <w:rPr>
          <w:szCs w:val="24"/>
          <w:lang w:val="uk-UA"/>
        </w:rPr>
        <w:tab/>
        <w:t>Загальні принципи та зобов’язання (статті 1–4)</w:t>
      </w:r>
    </w:p>
    <w:p w:rsidR="000F3BD5" w:rsidRPr="00902155" w:rsidRDefault="000F3BD5" w:rsidP="002917F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бере до уваги запит Держави-учасниці стосовно термінології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на позначення осіб з інвалідністю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і вважає, що використання термінології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українською мовою, яка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називає осіб з інвалідністю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«інвалідами» або «особами з обмеженими фізичними можливостями»,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не відповідає Конвенції.</w:t>
      </w:r>
    </w:p>
    <w:p w:rsidR="000F3BD5" w:rsidRPr="00902155" w:rsidRDefault="000F3BD5" w:rsidP="00C03195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закликає 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прибрати посилання на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«інвалідів» або «осіб з обмеженими фізичними можливостями»</w:t>
      </w:r>
      <w:r w:rsidR="00C257E4"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 усіх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законодавчих та програмних документів, у тому числі з українського перекладу Конвенції, та використати термінологію, що відповідає Конвенції,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провівши консультації з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представницькими організаціями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осіб з інвалідністю.</w:t>
      </w:r>
    </w:p>
    <w:p w:rsidR="000F3BD5" w:rsidRPr="00902155" w:rsidRDefault="00C257E4" w:rsidP="002917F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Комітет</w:t>
      </w:r>
      <w:r w:rsidR="000F3BD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</w:t>
      </w:r>
      <w:r w:rsidR="000F3BD5" w:rsidRPr="00902155">
        <w:rPr>
          <w:sz w:val="24"/>
          <w:szCs w:val="24"/>
          <w:lang w:val="uk-UA"/>
        </w:rPr>
        <w:t>з занепокоєнням відзначає, що медичний підхід до інвалідності</w:t>
      </w:r>
      <w:r w:rsidR="000F3BD5">
        <w:rPr>
          <w:sz w:val="24"/>
          <w:szCs w:val="24"/>
          <w:lang w:val="uk-UA"/>
        </w:rPr>
        <w:t xml:space="preserve"> </w:t>
      </w:r>
      <w:r w:rsidR="000F3BD5" w:rsidRPr="00902155">
        <w:rPr>
          <w:sz w:val="24"/>
          <w:szCs w:val="24"/>
          <w:lang w:val="uk-UA"/>
        </w:rPr>
        <w:t>все ще переважає, особливо в політ</w:t>
      </w:r>
      <w:r>
        <w:rPr>
          <w:sz w:val="24"/>
          <w:szCs w:val="24"/>
          <w:lang w:val="uk-UA"/>
        </w:rPr>
        <w:t>и</w:t>
      </w:r>
      <w:r w:rsidR="000F3BD5" w:rsidRPr="00902155">
        <w:rPr>
          <w:sz w:val="24"/>
          <w:szCs w:val="24"/>
          <w:lang w:val="uk-UA"/>
        </w:rPr>
        <w:t>ках стосовно осіб з інвалідністю, внаслідок відсутності професійного навчання щодо прав осіб з інвалідністю та відсутності їх розуміння</w:t>
      </w:r>
      <w:r w:rsidR="000F3BD5">
        <w:rPr>
          <w:sz w:val="24"/>
          <w:szCs w:val="24"/>
          <w:lang w:val="uk-UA"/>
        </w:rPr>
        <w:t xml:space="preserve"> </w:t>
      </w:r>
      <w:r w:rsidR="000F3BD5" w:rsidRPr="00902155">
        <w:rPr>
          <w:sz w:val="24"/>
          <w:szCs w:val="24"/>
          <w:lang w:val="uk-UA"/>
        </w:rPr>
        <w:t>серед державних службовців та фахівців.</w:t>
      </w:r>
    </w:p>
    <w:p w:rsidR="000F3BD5" w:rsidRPr="00902155" w:rsidRDefault="000F3BD5" w:rsidP="00D50D6C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наполегливо рекомендує Державі-учасниці прийняти підхід, заснований на правах людей з інвалідністю,</w:t>
      </w:r>
      <w:r w:rsidR="00C257E4"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 усіх її законах, політиках та рішеннях. Він також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спонукає 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займатися підготовкою та підвищенням поінформованості політиків, фахівців та суспільства в цілому стосовно прав осіб з інвалідністю на підставі Конвенції та Факультативного протоколу до неї.</w:t>
      </w:r>
    </w:p>
    <w:p w:rsidR="000F3BD5" w:rsidRPr="00902155" w:rsidRDefault="000F3BD5" w:rsidP="00F24C78">
      <w:pPr>
        <w:pStyle w:val="H1G"/>
        <w:rPr>
          <w:szCs w:val="24"/>
          <w:lang w:val="uk-UA"/>
        </w:rPr>
      </w:pPr>
      <w:r w:rsidRPr="00902155">
        <w:rPr>
          <w:szCs w:val="24"/>
          <w:lang w:val="uk-UA"/>
        </w:rPr>
        <w:lastRenderedPageBreak/>
        <w:tab/>
        <w:t>B.</w:t>
      </w:r>
      <w:r w:rsidRPr="00902155">
        <w:rPr>
          <w:szCs w:val="24"/>
          <w:lang w:val="uk-UA"/>
        </w:rPr>
        <w:tab/>
        <w:t>Конкретні права (статті 5–30)</w:t>
      </w:r>
    </w:p>
    <w:p w:rsidR="000F3BD5" w:rsidRPr="00902155" w:rsidRDefault="000F3BD5" w:rsidP="00F24C78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  <w:t>Рівність і недискримінація (ст. 5)</w:t>
      </w:r>
    </w:p>
    <w:p w:rsidR="000F3BD5" w:rsidRPr="00902155" w:rsidRDefault="000F3BD5" w:rsidP="003E4AAC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занепокоєний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тим,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судами розглянуто лише декілька справ, пов’язаних з дискримінацією на підставі інвалідності, а також що за статтею 161 Кримінального кодексу не ініційовано жодного карного провадження. Комітет також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занепокоєний тим, що принцип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розумного пристосування не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реалізується послідовно, а його незабезпечення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не тягне за собою жодних санкцій. Крім того, Комітет</w:t>
      </w:r>
      <w:r>
        <w:rPr>
          <w:sz w:val="24"/>
          <w:szCs w:val="24"/>
          <w:lang w:val="uk-UA"/>
        </w:rPr>
        <w:t xml:space="preserve">  з</w:t>
      </w:r>
      <w:r w:rsidRPr="00902155">
        <w:rPr>
          <w:sz w:val="24"/>
          <w:szCs w:val="24"/>
          <w:lang w:val="uk-UA"/>
        </w:rPr>
        <w:t>анепокоєний тим,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випадки множинної та перехресної дискримінації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не враховуються належним чином у законах та політиках Держави-учасниці.</w:t>
      </w:r>
    </w:p>
    <w:p w:rsidR="000F3BD5" w:rsidRPr="00902155" w:rsidRDefault="000F3BD5" w:rsidP="00D50D6C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закликає Державу-учасницю посилити законодавство таким чином, щоб принцип розумного пристосування поширювався на всі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сфери життя, а його незабезпечення каралося законом. Державі-учасниці наполегливо рекомендується вжити всіх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необхідних заходів,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включаючи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навчання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працівників судових органів та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нарощування потенціалу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осіб з інвалідністю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та їх організацій, сприяти використанню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них засобів правового захисту особами з інвалідністю,</w:t>
      </w:r>
      <w:r w:rsidR="00C257E4"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які стикаються з дискримінацією та нерівністю. Крім того, Державі-учасниці рекомендується закріпити на законодавчому рівні відповідні механізми та включити до своїх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програм заходи, спрямовані на попередження та захист від множинної та перехресної форм дискримінації.</w:t>
      </w:r>
    </w:p>
    <w:p w:rsidR="000F3BD5" w:rsidRPr="00902155" w:rsidRDefault="000F3BD5" w:rsidP="00F24C78">
      <w:pPr>
        <w:pStyle w:val="H23G"/>
        <w:ind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Жінки з інвалідністю (ст. 6)</w:t>
      </w:r>
    </w:p>
    <w:p w:rsidR="000F3BD5" w:rsidRPr="00902155" w:rsidRDefault="000F3BD5" w:rsidP="002917F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серйозно занепокоєний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повідомленнями про торгівлю людьми, сексуальне насильство та експлуатацію жінок з інвалідністю в спеціальних закладах. Він також занепокоєний тим,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закони та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політики Держави-учасниці,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покликані заохочувати рівність жінок,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не враховують ситуацію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жінок з інвалідністю.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Більш того, він занепокоєний відсутністю даних щодо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гендерного насильства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проти жінок з інвалідністю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та відсутністю доступу жінок з інвалідністю до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тимчасових притулків та послуг, спрямованих на допомогу жертвам домашнього насильства.</w:t>
      </w:r>
    </w:p>
    <w:p w:rsidR="000F3BD5" w:rsidRPr="00902155" w:rsidRDefault="000F3BD5" w:rsidP="002917F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рекомендує Державі-учасниці вжити всіх необхідних заходів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для проведення негайного й ефективного розслідування всіх повідомлень про торгівлю людьми, сексуальне насильство та експлуатацію жінок та дівчат з інвалідністю в спеціальних закладах, притягнення до відповідальності та належного покарання злочинців, а також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вжити заходів для надання засобів захисту жертвам таких злочинів. Комітет також рекомендує Державі-учасниці забезпечити врахування ситуації жінок та дівчат з інвалідністю в усіх її політиках та законодавстві про гендерну рівність та боротьбу з гендерним насильством. Крім того, Комітет наполегливо рекомендує Державі-учасниці переглянути свої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lastRenderedPageBreak/>
        <w:t>нормативні стандарти для надання доступу всім жінкам та дівчатам з інвалідністю, в тому числі фізичного доступу, до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притулків та послуг, спрямованих на допомогу жертвам домашнього насильства.</w:t>
      </w:r>
    </w:p>
    <w:p w:rsidR="000F3BD5" w:rsidRPr="00902155" w:rsidRDefault="000F3BD5" w:rsidP="000A7BAB">
      <w:pPr>
        <w:pStyle w:val="H23G"/>
        <w:ind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Діти з інвалідністю (ст. 7)</w:t>
      </w:r>
    </w:p>
    <w:p w:rsidR="000F3BD5" w:rsidRPr="00902155" w:rsidRDefault="000F3BD5" w:rsidP="00544B59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глибоко занепокоєний повідомленнями про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залишення дітей з інвалідністю </w:t>
      </w:r>
      <w:r>
        <w:rPr>
          <w:sz w:val="24"/>
          <w:szCs w:val="24"/>
          <w:lang w:val="uk-UA" w:eastAsia="sr-Latn-CS"/>
        </w:rPr>
        <w:t>в конфліктних районах на Сході</w:t>
      </w:r>
      <w:r w:rsidRPr="00902155">
        <w:rPr>
          <w:sz w:val="24"/>
          <w:szCs w:val="24"/>
          <w:lang w:val="uk-UA" w:eastAsia="sr-Latn-CS"/>
        </w:rPr>
        <w:t xml:space="preserve"> України</w:t>
      </w:r>
      <w:r w:rsidRPr="00902155">
        <w:rPr>
          <w:sz w:val="24"/>
          <w:szCs w:val="24"/>
          <w:lang w:val="uk-UA"/>
        </w:rPr>
        <w:t xml:space="preserve"> та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розповсюджену по всій країні </w:t>
      </w:r>
      <w:proofErr w:type="spellStart"/>
      <w:r>
        <w:rPr>
          <w:sz w:val="24"/>
          <w:szCs w:val="24"/>
          <w:lang w:val="uk-UA"/>
        </w:rPr>
        <w:t>інституціоналізацію</w:t>
      </w:r>
      <w:proofErr w:type="spellEnd"/>
      <w:r w:rsidRPr="00902155">
        <w:rPr>
          <w:sz w:val="24"/>
          <w:szCs w:val="24"/>
          <w:lang w:val="uk-UA"/>
        </w:rPr>
        <w:t xml:space="preserve"> дітей з інвалідністю. Він особливо занепокоєний повідомленнями про сексуальне насильство над дітьми з інвалідністю та їх експлуатацію в інтернатах, а також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їх незаконне переправлення закордон. Він також занепокоєний поганими умовами в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закладах по догляду за такими дітьми, у тому числі відсутністю програм реабілітації та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відсутністю умов для приватного життя, і особливо стривожений повідомленнями про випадки смерті дітей з інвалідністю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 спеціальних закладах внаслідок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захворювань, пов’язаних з недоїданням.</w:t>
      </w:r>
    </w:p>
    <w:p w:rsidR="000F3BD5" w:rsidRPr="00902155" w:rsidRDefault="000F3BD5" w:rsidP="004C6A5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закликає 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забезпечити безпеку всіх хлопчиків та </w:t>
      </w:r>
      <w:proofErr w:type="spellStart"/>
      <w:r w:rsidRPr="00902155">
        <w:rPr>
          <w:b/>
          <w:sz w:val="24"/>
          <w:szCs w:val="24"/>
          <w:lang w:val="uk-UA"/>
        </w:rPr>
        <w:t>дівчаток</w:t>
      </w:r>
      <w:proofErr w:type="spellEnd"/>
      <w:r w:rsidRPr="00902155">
        <w:rPr>
          <w:b/>
          <w:sz w:val="24"/>
          <w:szCs w:val="24"/>
          <w:lang w:val="uk-UA"/>
        </w:rPr>
        <w:t xml:space="preserve"> з інвалідністю в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конфліктних районах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усіма можливими засобами, а особливо, щоб мешканці спеціальних закладів були серед пріоритетних груп, які мають евакуюватися в надзвичайних ситуаціях. Комітет також спонукає Державу-учасницю вжити негайних заходів для розслідування повідомлень про сексуальне насильство,</w:t>
      </w:r>
      <w:r w:rsidR="00C257E4"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експлуатацію та торгівлю хлопчиками та дівчатками в спеціальних закладах, а також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притягати до відповідальності та карати винних. Більш того, він рекомендує активізувати зусилля з </w:t>
      </w:r>
      <w:proofErr w:type="spellStart"/>
      <w:r w:rsidRPr="00902155">
        <w:rPr>
          <w:b/>
          <w:sz w:val="24"/>
          <w:szCs w:val="24"/>
          <w:lang w:val="uk-UA"/>
        </w:rPr>
        <w:t>деінституціоналізації</w:t>
      </w:r>
      <w:proofErr w:type="spellEnd"/>
      <w:r w:rsidRPr="00902155">
        <w:rPr>
          <w:b/>
          <w:sz w:val="24"/>
          <w:szCs w:val="24"/>
          <w:lang w:val="uk-UA"/>
        </w:rPr>
        <w:t xml:space="preserve"> та, протягом проміжного періоду, забезпечити хлопчиків та </w:t>
      </w:r>
      <w:proofErr w:type="spellStart"/>
      <w:r w:rsidRPr="00902155">
        <w:rPr>
          <w:b/>
          <w:sz w:val="24"/>
          <w:szCs w:val="24"/>
          <w:lang w:val="uk-UA"/>
        </w:rPr>
        <w:t>дівчаток</w:t>
      </w:r>
      <w:proofErr w:type="spellEnd"/>
      <w:r w:rsidRPr="00902155">
        <w:rPr>
          <w:b/>
          <w:sz w:val="24"/>
          <w:szCs w:val="24"/>
          <w:lang w:val="uk-UA"/>
        </w:rPr>
        <w:t xml:space="preserve"> з інвалідністю, що утримуються в спеціальних закладах,</w:t>
      </w:r>
      <w:r w:rsidR="00C257E4"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належними умовами для життя, включаючи якісне харчування та можливість приватного життя.</w:t>
      </w:r>
    </w:p>
    <w:p w:rsidR="000F3BD5" w:rsidRPr="00902155" w:rsidRDefault="000F3BD5" w:rsidP="005E77AF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</w:r>
      <w:proofErr w:type="spellStart"/>
      <w:r w:rsidR="00C257E4">
        <w:rPr>
          <w:sz w:val="24"/>
          <w:szCs w:val="24"/>
          <w:lang w:val="uk-UA" w:eastAsia="sr-Latn-CS"/>
        </w:rPr>
        <w:t>Просвітницько</w:t>
      </w:r>
      <w:proofErr w:type="spellEnd"/>
      <w:r w:rsidRPr="00902155">
        <w:rPr>
          <w:sz w:val="24"/>
          <w:szCs w:val="24"/>
          <w:lang w:val="uk-UA" w:eastAsia="sr-Latn-CS"/>
        </w:rPr>
        <w:t>-виховна робота (ст. 8)</w:t>
      </w:r>
    </w:p>
    <w:p w:rsidR="000F3BD5" w:rsidRPr="00902155" w:rsidRDefault="000F3BD5" w:rsidP="004C6A5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 w:rsidR="00C257E4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із занепокоєнням відзначає відсутність заходів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 підвищення обізнаності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щодо прав людей з інвалідністю,</w:t>
      </w:r>
      <w:r w:rsidR="00C257E4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як передбачено в Конвенції. Комітет особливо занепокоєний тим, що державні службовці, фахівці, які працюють з та для осіб з інвалідністю, суспільство в цілому та самі особи з інвалідністю залишаються необізнаними щодо їх прав.</w:t>
      </w:r>
    </w:p>
    <w:p w:rsidR="000F3BD5" w:rsidRPr="00902155" w:rsidRDefault="000F3BD5" w:rsidP="004C6A56">
      <w:pPr>
        <w:numPr>
          <w:ilvl w:val="0"/>
          <w:numId w:val="3"/>
        </w:numPr>
        <w:ind w:left="1134" w:right="1134" w:firstLine="0"/>
        <w:jc w:val="both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спонукає Державу-учасницю активізувати зусилля з підвищення обізнаності суспільства з правами людей з інвалідності шляхом проведення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громадських кампаній, включення Конвенції до шкільних навчальних програмі професійної підготовки державних службовців та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всіх відповідних фахівців.</w:t>
      </w:r>
    </w:p>
    <w:p w:rsidR="000F3BD5" w:rsidRPr="00902155" w:rsidRDefault="000F3BD5" w:rsidP="00FA6399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lastRenderedPageBreak/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>Доступність (ст. 9)</w:t>
      </w:r>
    </w:p>
    <w:p w:rsidR="000F3BD5" w:rsidRPr="00902155" w:rsidRDefault="000F3BD5" w:rsidP="004C6A5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i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занепокоєний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відсутністю моніторингу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реалізації програми «</w:t>
      </w:r>
      <w:proofErr w:type="spellStart"/>
      <w:r w:rsidRPr="00902155">
        <w:rPr>
          <w:sz w:val="24"/>
          <w:szCs w:val="24"/>
          <w:lang w:val="uk-UA"/>
        </w:rPr>
        <w:t>Безбар’єрна</w:t>
      </w:r>
      <w:proofErr w:type="spellEnd"/>
      <w:r w:rsidRPr="00902155">
        <w:rPr>
          <w:sz w:val="24"/>
          <w:szCs w:val="24"/>
          <w:lang w:val="uk-UA"/>
        </w:rPr>
        <w:t xml:space="preserve"> Україна» від 2009 р. державою і приватними особами. Він також занепокоєний тим,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відповідно до </w:t>
      </w:r>
      <w:r w:rsidRPr="00902155">
        <w:rPr>
          <w:sz w:val="24"/>
          <w:szCs w:val="24"/>
          <w:lang w:val="uk-UA" w:eastAsia="sr-Latn-CS"/>
        </w:rPr>
        <w:t xml:space="preserve">Закону «Про регулювання містобудівної діяльності» від </w:t>
      </w:r>
      <w:r w:rsidRPr="00902155">
        <w:rPr>
          <w:sz w:val="24"/>
          <w:szCs w:val="24"/>
          <w:lang w:val="uk-UA"/>
        </w:rPr>
        <w:t>2011 р. забудовникам більше не потрібно отримувати експертні висновки стосовно доступності будівель. Більш того, Комітет занепокоєний тим, що більшість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державних установ, у тому числі заклади охорони здоров’я, освітні заклади та служби зв’язку, залишаються недоступними для людей з інвалідністю, в тому числі для дітей.</w:t>
      </w:r>
    </w:p>
    <w:p w:rsidR="000F3BD5" w:rsidRPr="00902155" w:rsidRDefault="000F3BD5" w:rsidP="00803627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рекомендує Державі-учасниці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ефективно здійснювати свій план</w:t>
      </w:r>
      <w:r w:rsidR="00C257E4"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«Україна без кордонів» та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вести моніторинг впровадження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стандартів доступності шляхом:</w:t>
      </w:r>
    </w:p>
    <w:p w:rsidR="000F3BD5" w:rsidRPr="00902155" w:rsidRDefault="000F3BD5" w:rsidP="00803627">
      <w:pPr>
        <w:pStyle w:val="SingleTxtG"/>
        <w:numPr>
          <w:ilvl w:val="0"/>
          <w:numId w:val="4"/>
        </w:numPr>
        <w:spacing w:line="240" w:lineRule="auto"/>
        <w:ind w:left="1134" w:firstLine="567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чіткого визначення органів з повноваженням здійснювати моніторинг їх впровадження на всіх рівнях;</w:t>
      </w:r>
    </w:p>
    <w:p w:rsidR="000F3BD5" w:rsidRPr="00902155" w:rsidRDefault="000F3BD5" w:rsidP="00803627">
      <w:pPr>
        <w:pStyle w:val="SingleTxtG"/>
        <w:numPr>
          <w:ilvl w:val="0"/>
          <w:numId w:val="4"/>
        </w:numPr>
        <w:spacing w:line="240" w:lineRule="auto"/>
        <w:ind w:left="1134" w:firstLine="567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 xml:space="preserve">створення потенціалу та постійного навчання відповідальних за моніторинг; </w:t>
      </w:r>
    </w:p>
    <w:p w:rsidR="000F3BD5" w:rsidRPr="00902155" w:rsidRDefault="000F3BD5" w:rsidP="00015146">
      <w:pPr>
        <w:pStyle w:val="SingleTxtG"/>
        <w:numPr>
          <w:ilvl w:val="0"/>
          <w:numId w:val="4"/>
        </w:numPr>
        <w:spacing w:line="240" w:lineRule="auto"/>
        <w:ind w:left="1134" w:firstLine="567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залучення організацій осіб з інвалідністю до впровадження та моніторингу; та</w:t>
      </w:r>
    </w:p>
    <w:p w:rsidR="000F3BD5" w:rsidRPr="00902155" w:rsidRDefault="000F3BD5" w:rsidP="004C6A56">
      <w:pPr>
        <w:pStyle w:val="SingleTxtG"/>
        <w:numPr>
          <w:ilvl w:val="0"/>
          <w:numId w:val="4"/>
        </w:numPr>
        <w:spacing w:line="240" w:lineRule="auto"/>
        <w:ind w:left="1134" w:firstLine="567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 xml:space="preserve">накладання ефективних санкцій на тих, </w:t>
      </w:r>
      <w:proofErr w:type="spellStart"/>
      <w:r w:rsidRPr="00902155">
        <w:rPr>
          <w:b/>
          <w:sz w:val="24"/>
          <w:szCs w:val="24"/>
          <w:lang w:val="uk-UA"/>
        </w:rPr>
        <w:t>хтоне</w:t>
      </w:r>
      <w:proofErr w:type="spellEnd"/>
      <w:r w:rsidRPr="00902155">
        <w:rPr>
          <w:b/>
          <w:sz w:val="24"/>
          <w:szCs w:val="24"/>
          <w:lang w:val="uk-UA"/>
        </w:rPr>
        <w:t xml:space="preserve"> застосовує стандарти доступності.</w:t>
      </w:r>
    </w:p>
    <w:p w:rsidR="000F3BD5" w:rsidRPr="00902155" w:rsidRDefault="000F3BD5" w:rsidP="0019007D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закликає 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забезпечити доступ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до приміщень, відкритих для громадськості, особам з інвалідністю, в тому числі дітям та особливо глухим особам, сліпим особам та особам з розумовою інвалідністю, шляхом забезпечення</w:t>
      </w:r>
      <w:r>
        <w:rPr>
          <w:b/>
          <w:sz w:val="24"/>
          <w:szCs w:val="24"/>
          <w:lang w:val="uk-UA"/>
        </w:rPr>
        <w:t xml:space="preserve"> перекладу на жестову мову</w:t>
      </w:r>
      <w:r w:rsidRPr="00902155">
        <w:rPr>
          <w:b/>
          <w:sz w:val="24"/>
          <w:szCs w:val="24"/>
          <w:lang w:val="uk-UA"/>
        </w:rPr>
        <w:t xml:space="preserve">, оформлення вказівників абеткою </w:t>
      </w:r>
      <w:proofErr w:type="spellStart"/>
      <w:r w:rsidRPr="00902155">
        <w:rPr>
          <w:b/>
          <w:sz w:val="24"/>
          <w:szCs w:val="24"/>
          <w:lang w:val="uk-UA"/>
        </w:rPr>
        <w:t>Брайля</w:t>
      </w:r>
      <w:proofErr w:type="spellEnd"/>
      <w:r w:rsidRPr="00902155">
        <w:rPr>
          <w:b/>
          <w:sz w:val="24"/>
          <w:szCs w:val="24"/>
          <w:lang w:val="uk-UA"/>
        </w:rPr>
        <w:t>, альтернативної та додаткової комунікації та всіх інших доступних засобів, режимів і форматів комунікації, таких як піктограми.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Під час здійснення таких заходів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Комітет рекомендує звертатися до його Загального коментаря № 2 (2014)стосовно доступності.</w:t>
      </w:r>
    </w:p>
    <w:p w:rsidR="000F3BD5" w:rsidRPr="00902155" w:rsidRDefault="000F3BD5" w:rsidP="00BF1432">
      <w:pPr>
        <w:pStyle w:val="H23G"/>
        <w:ind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Право на життя (ст. 10)</w:t>
      </w:r>
    </w:p>
    <w:p w:rsidR="000F3BD5" w:rsidRPr="00902155" w:rsidRDefault="000F3BD5" w:rsidP="00CE2CC4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занепокоєний повідомленнями про те, що</w:t>
      </w:r>
      <w:r w:rsidR="00C257E4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діти з інвалідністю із спеціальних закладів піддаються високому ризику стати мішенню організованих злочинних груп у торгівлі органами.</w:t>
      </w:r>
    </w:p>
    <w:p w:rsidR="000F3BD5" w:rsidRPr="00902155" w:rsidRDefault="000F3BD5" w:rsidP="004C6A5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спонукає Державу-учасницю вжити термінових заходів для захисту дітей з інвалідністю, які залишаються розміщеними в інтернатах, і здійснити кроки для усунення будь-яких ризиків, пов’язаних з торгівлею органами, стосовно</w:t>
      </w:r>
      <w:r w:rsidR="00C257E4">
        <w:rPr>
          <w:b/>
          <w:sz w:val="24"/>
          <w:szCs w:val="24"/>
          <w:lang w:val="uk-UA"/>
        </w:rPr>
        <w:t xml:space="preserve"> </w:t>
      </w:r>
      <w:proofErr w:type="spellStart"/>
      <w:r w:rsidRPr="00902155">
        <w:rPr>
          <w:b/>
          <w:sz w:val="24"/>
          <w:szCs w:val="24"/>
          <w:lang w:val="uk-UA"/>
        </w:rPr>
        <w:t>дітейз</w:t>
      </w:r>
      <w:proofErr w:type="spellEnd"/>
      <w:r w:rsidRPr="00902155">
        <w:rPr>
          <w:b/>
          <w:sz w:val="24"/>
          <w:szCs w:val="24"/>
          <w:lang w:val="uk-UA"/>
        </w:rPr>
        <w:t xml:space="preserve"> інвалідністю. Комітет також рекомендує здійснювати систематичний моніторинг спеціальних закладів для дітей з інвалідністю.</w:t>
      </w:r>
    </w:p>
    <w:p w:rsidR="000F3BD5" w:rsidRPr="00902155" w:rsidRDefault="000F3BD5" w:rsidP="00F300C3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lastRenderedPageBreak/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 xml:space="preserve">Ситуації ризику та надзвичайні гуманітарні ситуації </w:t>
      </w:r>
      <w:r w:rsidRPr="00902155">
        <w:rPr>
          <w:sz w:val="24"/>
          <w:szCs w:val="24"/>
          <w:lang w:val="uk-UA"/>
        </w:rPr>
        <w:t>(ст.11)</w:t>
      </w:r>
    </w:p>
    <w:p w:rsidR="000F3BD5" w:rsidRPr="00902155" w:rsidRDefault="000F3BD5" w:rsidP="00D50D6C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занепокоєний повідомленнями проте, що особи з інвалідністю були залишені та не могли бути евакуйованими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під час конфлікту на сході країни. Він особливо занепокоєний повідомленнями про відсутність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системи попередження для </w:t>
      </w:r>
      <w:proofErr w:type="spellStart"/>
      <w:r>
        <w:rPr>
          <w:sz w:val="24"/>
          <w:szCs w:val="24"/>
          <w:lang w:val="uk-UA"/>
        </w:rPr>
        <w:t>нечуючих</w:t>
      </w:r>
      <w:proofErr w:type="spellEnd"/>
      <w:r>
        <w:rPr>
          <w:sz w:val="24"/>
          <w:szCs w:val="24"/>
          <w:lang w:val="uk-UA"/>
        </w:rPr>
        <w:t xml:space="preserve"> та незрячих</w:t>
      </w:r>
      <w:r w:rsidRPr="00902155">
        <w:rPr>
          <w:sz w:val="24"/>
          <w:szCs w:val="24"/>
          <w:lang w:val="uk-UA"/>
        </w:rPr>
        <w:t>, і про те, що особи з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множинними формами інвалідності не могли користуватися бомбосховищами. Комітет також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занепокоєний відсутністю точних даних про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переміщення, жертви і постраждалих серед осіб з інвалідністю під час конфлікту.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Більш того, Комітет відзначає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тривожні повідомлення про те, що гуманітарна допомога, у тому числі допомога, яка надається міжнародними донорами, не є доступною для осіб з інвалідністю, що сприяє їх виключенню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із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зусиль з надання допомоги.</w:t>
      </w:r>
    </w:p>
    <w:p w:rsidR="000F3BD5" w:rsidRPr="00902155" w:rsidRDefault="000F3BD5" w:rsidP="001F4588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наполягає на тому, щоб Держава-учасниця, в тому числі на місцевому рівні, здійснила всі необхідні кроки для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сприяння захисту, у тому числі евакуації, осіб з інвалідністю, які наразі залишаються в конфліктних районах країни, та забезпечила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доступ і включення всіх осіб з інвалідністю до механізмів реагування на надзвичайні ситуації та планів евакуації. Зокрема, він закликає 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зробити пріоритетними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осіб з інвалідністю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 своїх планах евакуації, у тому числі шляхом навчання залученого персоналу.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Крім того, Комітет рекомендує</w:t>
      </w:r>
      <w:r>
        <w:rPr>
          <w:b/>
          <w:sz w:val="24"/>
          <w:szCs w:val="24"/>
          <w:lang w:val="uk-UA"/>
        </w:rPr>
        <w:t xml:space="preserve">  з</w:t>
      </w:r>
      <w:r w:rsidRPr="00902155">
        <w:rPr>
          <w:b/>
          <w:sz w:val="24"/>
          <w:szCs w:val="24"/>
          <w:lang w:val="uk-UA"/>
        </w:rPr>
        <w:t>робити інвалідність основним напрямком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 усіх каналах гуманітарної допомоги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та залучити організації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осіб з інвалідністю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до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визначення пріоритетів у розподілі допомоги.</w:t>
      </w:r>
    </w:p>
    <w:p w:rsidR="000F3BD5" w:rsidRPr="00902155" w:rsidRDefault="000F3BD5" w:rsidP="00B63F2C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занепокоєний тим,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відсутність</w:t>
      </w:r>
      <w:r>
        <w:rPr>
          <w:sz w:val="24"/>
          <w:szCs w:val="24"/>
          <w:lang w:val="uk-UA"/>
        </w:rPr>
        <w:t xml:space="preserve"> систематичного </w:t>
      </w:r>
      <w:r w:rsidRPr="00902155">
        <w:rPr>
          <w:sz w:val="24"/>
          <w:szCs w:val="24"/>
          <w:lang w:val="uk-UA"/>
        </w:rPr>
        <w:t>процесу реєстрації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для внутрішньо переміщених осіб з інвалідністю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перешкоджає їх доступу до соціального захисту, послуг, що надаються у надзвичайних ситуаціях, та гуманітарної допомоги, у тому числі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до притулків, медицини, пільг, пенсій, необхідних для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підтримання достатнього рівня життя.</w:t>
      </w:r>
    </w:p>
    <w:p w:rsidR="000F3BD5" w:rsidRPr="00902155" w:rsidRDefault="000F3BD5" w:rsidP="004C6A5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спонукає 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здійснити всі необхідні заходи для систематичної </w:t>
      </w:r>
      <w:r>
        <w:rPr>
          <w:b/>
          <w:sz w:val="24"/>
          <w:szCs w:val="24"/>
          <w:lang w:val="uk-UA"/>
        </w:rPr>
        <w:t>реєстрації в</w:t>
      </w:r>
      <w:r w:rsidRPr="00902155">
        <w:rPr>
          <w:b/>
          <w:sz w:val="24"/>
          <w:szCs w:val="24"/>
          <w:lang w:val="uk-UA"/>
        </w:rPr>
        <w:t>нутрішньо переміщених осіб з інвалідністю та забезпечити належні умови для життя</w:t>
      </w:r>
      <w:r w:rsidRPr="00902155">
        <w:rPr>
          <w:sz w:val="24"/>
          <w:szCs w:val="24"/>
          <w:lang w:val="uk-UA"/>
        </w:rPr>
        <w:t>.</w:t>
      </w:r>
    </w:p>
    <w:p w:rsidR="000F3BD5" w:rsidRPr="00902155" w:rsidRDefault="000F3BD5" w:rsidP="00085A77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>Рівність перед законом (ст. 12)</w:t>
      </w:r>
    </w:p>
    <w:p w:rsidR="000F3BD5" w:rsidRPr="00902155" w:rsidRDefault="000F3BD5" w:rsidP="004F120A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занепокоєний тим,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особи, яких було </w:t>
      </w:r>
      <w:proofErr w:type="spellStart"/>
      <w:r w:rsidRPr="00902155">
        <w:rPr>
          <w:sz w:val="24"/>
          <w:szCs w:val="24"/>
          <w:lang w:val="uk-UA"/>
        </w:rPr>
        <w:t>позбавлено</w:t>
      </w:r>
      <w:proofErr w:type="spellEnd"/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правоздатності за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рішенням суду,</w:t>
      </w:r>
      <w:r w:rsidR="00C257E4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втрачають всі свої права, у тому числі право оскаржити свій статус в суді, і що законодавство Держави-учасниці не передбачає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для таких осіб механізму підтриманого прийняття рішень.  </w:t>
      </w:r>
    </w:p>
    <w:p w:rsidR="000F3BD5" w:rsidRPr="00902155" w:rsidRDefault="000F3BD5" w:rsidP="00322A35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bCs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закликає Державу-учасницю замінити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своє законодавство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про опіку та піклування механізмами підтриманого прийняття рішень та ліквідувати будь-яке</w:t>
      </w:r>
      <w:r w:rsidRPr="00902155">
        <w:rPr>
          <w:b/>
          <w:bCs/>
          <w:sz w:val="24"/>
          <w:szCs w:val="24"/>
          <w:lang w:val="uk-UA"/>
        </w:rPr>
        <w:t xml:space="preserve"> позбавлення </w:t>
      </w:r>
      <w:r w:rsidRPr="00902155">
        <w:rPr>
          <w:b/>
          <w:bCs/>
          <w:sz w:val="24"/>
          <w:szCs w:val="24"/>
          <w:lang w:val="uk-UA"/>
        </w:rPr>
        <w:lastRenderedPageBreak/>
        <w:t>правоздатності, як повне, так і часткове, стосовно всіх осіб</w:t>
      </w:r>
      <w:r>
        <w:rPr>
          <w:b/>
          <w:bCs/>
          <w:sz w:val="24"/>
          <w:szCs w:val="24"/>
          <w:lang w:val="uk-UA"/>
        </w:rPr>
        <w:t xml:space="preserve"> </w:t>
      </w:r>
      <w:r w:rsidRPr="00902155">
        <w:rPr>
          <w:b/>
          <w:bCs/>
          <w:sz w:val="24"/>
          <w:szCs w:val="24"/>
          <w:lang w:val="uk-UA"/>
        </w:rPr>
        <w:t>з інвалідністю.</w:t>
      </w:r>
      <w:r>
        <w:rPr>
          <w:b/>
          <w:bCs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Крім того, 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рекомендує Державі-учасниці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повністю гармонізувати </w:t>
      </w:r>
      <w:r w:rsidRPr="00902155">
        <w:rPr>
          <w:b/>
          <w:bCs/>
          <w:sz w:val="24"/>
          <w:szCs w:val="24"/>
          <w:lang w:val="uk-UA"/>
        </w:rPr>
        <w:t>свої положення</w:t>
      </w:r>
      <w:r>
        <w:rPr>
          <w:b/>
          <w:bCs/>
          <w:sz w:val="24"/>
          <w:szCs w:val="24"/>
          <w:lang w:val="uk-UA"/>
        </w:rPr>
        <w:t xml:space="preserve"> </w:t>
      </w:r>
      <w:r w:rsidRPr="00902155">
        <w:rPr>
          <w:b/>
          <w:bCs/>
          <w:sz w:val="24"/>
          <w:szCs w:val="24"/>
          <w:lang w:val="uk-UA"/>
        </w:rPr>
        <w:t>із статтею 12 Конвенції, як це передбачено в Загальному коментарі № 1 Комітету</w:t>
      </w:r>
      <w:r>
        <w:rPr>
          <w:b/>
          <w:bCs/>
          <w:sz w:val="24"/>
          <w:szCs w:val="24"/>
          <w:lang w:val="uk-UA"/>
        </w:rPr>
        <w:t xml:space="preserve"> </w:t>
      </w:r>
      <w:r w:rsidRPr="00902155">
        <w:rPr>
          <w:b/>
          <w:bCs/>
          <w:sz w:val="24"/>
          <w:szCs w:val="24"/>
          <w:lang w:val="uk-UA"/>
        </w:rPr>
        <w:t>та визнати</w:t>
      </w:r>
      <w:r>
        <w:rPr>
          <w:b/>
          <w:bCs/>
          <w:sz w:val="24"/>
          <w:szCs w:val="24"/>
          <w:lang w:val="uk-UA"/>
        </w:rPr>
        <w:t xml:space="preserve"> </w:t>
      </w:r>
      <w:r w:rsidRPr="00902155">
        <w:rPr>
          <w:b/>
          <w:bCs/>
          <w:sz w:val="24"/>
          <w:szCs w:val="24"/>
          <w:lang w:val="uk-UA"/>
        </w:rPr>
        <w:t>повну правоздатність</w:t>
      </w:r>
      <w:r>
        <w:rPr>
          <w:b/>
          <w:bCs/>
          <w:sz w:val="24"/>
          <w:szCs w:val="24"/>
          <w:lang w:val="uk-UA"/>
        </w:rPr>
        <w:t xml:space="preserve"> </w:t>
      </w:r>
      <w:r w:rsidRPr="00902155">
        <w:rPr>
          <w:b/>
          <w:bCs/>
          <w:sz w:val="24"/>
          <w:szCs w:val="24"/>
          <w:lang w:val="uk-UA"/>
        </w:rPr>
        <w:t>усіх осіб</w:t>
      </w:r>
      <w:r>
        <w:rPr>
          <w:b/>
          <w:bCs/>
          <w:sz w:val="24"/>
          <w:szCs w:val="24"/>
          <w:lang w:val="uk-UA"/>
        </w:rPr>
        <w:t xml:space="preserve"> </w:t>
      </w:r>
      <w:r w:rsidRPr="00902155">
        <w:rPr>
          <w:b/>
          <w:bCs/>
          <w:sz w:val="24"/>
          <w:szCs w:val="24"/>
          <w:lang w:val="uk-UA"/>
        </w:rPr>
        <w:t xml:space="preserve">з усіма типами інвалідності. </w:t>
      </w:r>
    </w:p>
    <w:p w:rsidR="000F3BD5" w:rsidRPr="00902155" w:rsidRDefault="000F3BD5" w:rsidP="00BA2FFE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>Доступ до правосуддя (ст. 13)</w:t>
      </w:r>
    </w:p>
    <w:p w:rsidR="000F3BD5" w:rsidRPr="00902155" w:rsidRDefault="000F3BD5" w:rsidP="0049056A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із занепокоєнням відзначає,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більшість будівель судів у країні залишаються недоступ</w:t>
      </w:r>
      <w:r>
        <w:rPr>
          <w:sz w:val="24"/>
          <w:szCs w:val="24"/>
          <w:lang w:val="uk-UA"/>
        </w:rPr>
        <w:t xml:space="preserve">ними для осіб з фізичними порушеннями </w:t>
      </w:r>
      <w:r w:rsidRPr="00902155">
        <w:rPr>
          <w:sz w:val="24"/>
          <w:szCs w:val="24"/>
          <w:lang w:val="uk-UA"/>
        </w:rPr>
        <w:t>.Він також занепокоєний тим, що особи, які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працюють в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сфері здійснення правосуддя, не мають підготовки з прав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осіб з інвалідністю, в тому числі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щодо розумного пристосування та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процесуальної доступності. Комітет висловлює жаль з приводу відсутності інформації про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наявність правової допомоги,</w:t>
      </w:r>
      <w:r>
        <w:rPr>
          <w:sz w:val="24"/>
          <w:szCs w:val="24"/>
          <w:lang w:val="uk-UA"/>
        </w:rPr>
        <w:t xml:space="preserve"> перекладу на жестову мову </w:t>
      </w:r>
      <w:r w:rsidRPr="00902155">
        <w:rPr>
          <w:sz w:val="24"/>
          <w:szCs w:val="24"/>
          <w:lang w:val="uk-UA"/>
        </w:rPr>
        <w:t xml:space="preserve"> та інших заходів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забезпечення доступу осіб з</w:t>
      </w:r>
      <w:r>
        <w:rPr>
          <w:sz w:val="24"/>
          <w:szCs w:val="24"/>
          <w:lang w:val="uk-UA"/>
        </w:rPr>
        <w:t xml:space="preserve"> розумовими  та психосоціальними порушеннями </w:t>
      </w:r>
      <w:r w:rsidRPr="00902155">
        <w:rPr>
          <w:sz w:val="24"/>
          <w:szCs w:val="24"/>
          <w:lang w:val="uk-UA"/>
        </w:rPr>
        <w:t>до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судових та адміністративних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проваджень.</w:t>
      </w:r>
    </w:p>
    <w:p w:rsidR="000F3BD5" w:rsidRPr="00902155" w:rsidRDefault="000F3BD5" w:rsidP="0049056A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спонукає 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забезпечити рівноправний доступ до судових та адміністративних проваджень усім особам з інвалідністю, в тому числі доступ до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будівел</w:t>
      </w:r>
      <w:r>
        <w:rPr>
          <w:b/>
          <w:sz w:val="24"/>
          <w:szCs w:val="24"/>
          <w:lang w:val="uk-UA"/>
        </w:rPr>
        <w:t>ь суду особам з фізичними порушеннями</w:t>
      </w:r>
      <w:r w:rsidRPr="00902155">
        <w:rPr>
          <w:b/>
          <w:sz w:val="24"/>
          <w:szCs w:val="24"/>
          <w:lang w:val="uk-UA"/>
        </w:rPr>
        <w:t>, та до документів в доступних форматах.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Крім того, він рекомендує здійснювати навчання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суддів,</w:t>
      </w:r>
      <w:r>
        <w:rPr>
          <w:b/>
          <w:sz w:val="24"/>
          <w:szCs w:val="24"/>
          <w:lang w:val="uk-UA"/>
        </w:rPr>
        <w:t xml:space="preserve"> працівників </w:t>
      </w:r>
      <w:r w:rsidRPr="00902155">
        <w:rPr>
          <w:b/>
          <w:sz w:val="24"/>
          <w:szCs w:val="24"/>
          <w:lang w:val="uk-UA"/>
        </w:rPr>
        <w:t>, співробітників пенітенціарної служби та іншого персоналу в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системі правосуддя щодо прав,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закріплених в Конвенції про права людей з інвалідністю.</w:t>
      </w:r>
    </w:p>
    <w:p w:rsidR="000F3BD5" w:rsidRPr="00902155" w:rsidRDefault="000F3BD5" w:rsidP="00BA2FFE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>Свобода та особиста недоторканість (ст. 14)</w:t>
      </w:r>
    </w:p>
    <w:p w:rsidR="000F3BD5" w:rsidRPr="00902155" w:rsidRDefault="000F3BD5" w:rsidP="0049056A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із занепокоєнням відзначає, що закон Держави-учасниці</w:t>
      </w:r>
      <w:r w:rsidR="00C257E4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«Про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психіатричну допомогу»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передбачає </w:t>
      </w:r>
      <w:proofErr w:type="spellStart"/>
      <w:r w:rsidRPr="00902155">
        <w:rPr>
          <w:sz w:val="24"/>
          <w:szCs w:val="24"/>
          <w:lang w:val="uk-UA"/>
        </w:rPr>
        <w:t>інституціоналізацію</w:t>
      </w:r>
      <w:proofErr w:type="spellEnd"/>
      <w:r w:rsidRPr="00902155">
        <w:rPr>
          <w:sz w:val="24"/>
          <w:szCs w:val="24"/>
          <w:lang w:val="uk-UA"/>
        </w:rPr>
        <w:t xml:space="preserve"> та лікування осіб</w:t>
      </w:r>
      <w:r>
        <w:rPr>
          <w:sz w:val="24"/>
          <w:szCs w:val="24"/>
          <w:lang w:val="uk-UA"/>
        </w:rPr>
        <w:t xml:space="preserve"> без їх згоди на підставі їх порушень</w:t>
      </w:r>
      <w:r w:rsidRPr="00902155">
        <w:rPr>
          <w:sz w:val="24"/>
          <w:szCs w:val="24"/>
          <w:lang w:val="uk-UA"/>
        </w:rPr>
        <w:t>. Більш того, Комітет занепокоєний тим, що не зважаючи на покращення в Кримінальному кодексі Держави-учасниці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від квітня 2014 року, проблеми у відношенні доступу до засобів гігієни, медичних установ та технічних засобів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для осіб з інвалідністю в пенітенціарних закладах все ще не вирішені. </w:t>
      </w:r>
    </w:p>
    <w:p w:rsidR="000F3BD5" w:rsidRPr="00902155" w:rsidRDefault="000F3BD5" w:rsidP="0049056A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спонукає 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скасувати закони, що передбачають позбавлення волі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на підставі інвалідності.  Комітет також рекомендує Державі-учасниці вжити заходів для впровадження свого законодавства, що передбачає розумне пристосування в місцях позбавлення волі, аби не погіршувати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умови утримання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ув’язнених на підставі їх інвалідності. </w:t>
      </w:r>
    </w:p>
    <w:p w:rsidR="000F3BD5" w:rsidRPr="00902155" w:rsidRDefault="000F3BD5" w:rsidP="00AD526F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 xml:space="preserve">Свобода від </w:t>
      </w:r>
      <w:r w:rsidRPr="00902155">
        <w:rPr>
          <w:sz w:val="24"/>
          <w:szCs w:val="24"/>
          <w:lang w:val="uk-UA"/>
        </w:rPr>
        <w:t>тортур або жорстокого, нелюдського або принижуючого гідність поводження або покарання,</w:t>
      </w:r>
      <w:r w:rsidR="00C257E4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 w:eastAsia="sr-Latn-CS"/>
        </w:rPr>
        <w:t>експлуатації, насилля та наруги (ст.  15 та 16)</w:t>
      </w:r>
    </w:p>
    <w:p w:rsidR="000F3BD5" w:rsidRPr="00902155" w:rsidRDefault="000F3BD5" w:rsidP="00AD526F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занепокоєний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різноманітними формами зловживань, у тому числі тими, які можуть становити жорстоке, нелюдське або </w:t>
      </w:r>
      <w:r w:rsidRPr="00902155">
        <w:rPr>
          <w:sz w:val="24"/>
          <w:szCs w:val="24"/>
          <w:lang w:val="uk-UA"/>
        </w:rPr>
        <w:lastRenderedPageBreak/>
        <w:t xml:space="preserve">принижуюче гідність поводження з особами з інвалідністю, зокрема щодо хлопчиків та </w:t>
      </w:r>
      <w:proofErr w:type="spellStart"/>
      <w:r w:rsidRPr="00902155">
        <w:rPr>
          <w:sz w:val="24"/>
          <w:szCs w:val="24"/>
          <w:lang w:val="uk-UA"/>
        </w:rPr>
        <w:t>дівчаток</w:t>
      </w:r>
      <w:proofErr w:type="spellEnd"/>
      <w:r w:rsidRPr="00902155">
        <w:rPr>
          <w:sz w:val="24"/>
          <w:szCs w:val="24"/>
          <w:lang w:val="uk-UA"/>
        </w:rPr>
        <w:t xml:space="preserve"> в умовах </w:t>
      </w:r>
      <w:proofErr w:type="spellStart"/>
      <w:r w:rsidRPr="00902155">
        <w:rPr>
          <w:sz w:val="24"/>
          <w:szCs w:val="24"/>
          <w:lang w:val="uk-UA"/>
        </w:rPr>
        <w:t>інституціоналізації</w:t>
      </w:r>
      <w:proofErr w:type="spellEnd"/>
      <w:r w:rsidRPr="00902155">
        <w:rPr>
          <w:sz w:val="24"/>
          <w:szCs w:val="24"/>
          <w:lang w:val="uk-UA"/>
        </w:rPr>
        <w:t>.</w:t>
      </w:r>
    </w:p>
    <w:p w:rsidR="000F3BD5" w:rsidRPr="00902155" w:rsidRDefault="000F3BD5" w:rsidP="00F525CC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рекомендує Державі-учасниці оцінити вплив та ефективність її програм підготовки з попередження та абсолютної заборони катувань та жорстокого поводження відповідно до заключних зауважень Комітету проти Тортур (CAT/C/UKR/CO/6-PARA 18 (e)). Ці програми підготовки повинні включати, в чіткій формі, запобігання жорстокому, нелюдському або такому, що принижує гідність, поводженню з особами з інвалідністю.  </w:t>
      </w:r>
    </w:p>
    <w:p w:rsidR="000F3BD5" w:rsidRPr="00902155" w:rsidRDefault="000F3BD5" w:rsidP="00B63F2C">
      <w:pPr>
        <w:pStyle w:val="H23G"/>
        <w:ind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Захист</w:t>
      </w:r>
      <w:r>
        <w:rPr>
          <w:sz w:val="24"/>
          <w:szCs w:val="24"/>
          <w:lang w:val="uk-UA"/>
        </w:rPr>
        <w:t xml:space="preserve"> особистої цілісності</w:t>
      </w:r>
      <w:r w:rsidRPr="00902155">
        <w:rPr>
          <w:sz w:val="24"/>
          <w:szCs w:val="24"/>
          <w:lang w:val="uk-UA"/>
        </w:rPr>
        <w:t xml:space="preserve"> (ст. 17)</w:t>
      </w:r>
    </w:p>
    <w:p w:rsidR="000F3BD5" w:rsidRPr="00902155" w:rsidRDefault="000F3BD5" w:rsidP="0049056A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Комітеті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 занепокоєнням відзначає, що згідно із статтею 281 Цивільного кодексу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опікун особи, визнаної неправоздатною, уповноважений надавати згоду на стерилізацію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такої особи, піддаючи, таким чином, таку особу примусовій стерилізації без її добровільної та інформованої згоди.</w:t>
      </w:r>
    </w:p>
    <w:p w:rsidR="000F3BD5" w:rsidRPr="00902155" w:rsidRDefault="000F3BD5" w:rsidP="00330682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наполягає на ліквідації Державою-учасницею практики стерилізації без добровільної та інформованої згоди особи з інвалідністю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та, відповідно, скасуванні статті 281 Цивільного кодексу. 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також закликає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надати засоби правового захисту жертвам примусової стерилізації.</w:t>
      </w:r>
    </w:p>
    <w:p w:rsidR="000F3BD5" w:rsidRPr="00902155" w:rsidRDefault="000F3BD5" w:rsidP="00EB1397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>Самостійний спосіб життя й залучення до місцевої спільноти (ст. 19)</w:t>
      </w:r>
    </w:p>
    <w:p w:rsidR="000F3BD5" w:rsidRPr="00902155" w:rsidRDefault="000F3BD5" w:rsidP="00F518D1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із занепокоєнням відзначає,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Держава-учасниця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продовжує практикувати</w:t>
      </w:r>
      <w:r>
        <w:rPr>
          <w:sz w:val="24"/>
          <w:szCs w:val="24"/>
          <w:lang w:val="uk-UA"/>
        </w:rPr>
        <w:t xml:space="preserve"> </w:t>
      </w:r>
      <w:proofErr w:type="spellStart"/>
      <w:r w:rsidRPr="00902155">
        <w:rPr>
          <w:sz w:val="24"/>
          <w:szCs w:val="24"/>
          <w:lang w:val="uk-UA"/>
        </w:rPr>
        <w:t>інституціоналізацію</w:t>
      </w:r>
      <w:proofErr w:type="spellEnd"/>
      <w:r w:rsidRPr="00902155">
        <w:rPr>
          <w:sz w:val="24"/>
          <w:szCs w:val="24"/>
          <w:lang w:val="uk-UA"/>
        </w:rPr>
        <w:t xml:space="preserve"> осіб з інвалідністю та надає дуже обмежену підтри</w:t>
      </w:r>
      <w:r>
        <w:rPr>
          <w:sz w:val="24"/>
          <w:szCs w:val="24"/>
          <w:lang w:val="uk-UA"/>
        </w:rPr>
        <w:t>мку, особливо особам з розумовими  та психосоціальними порушеннями</w:t>
      </w:r>
      <w:r w:rsidRPr="00902155">
        <w:rPr>
          <w:sz w:val="24"/>
          <w:szCs w:val="24"/>
          <w:lang w:val="uk-UA"/>
        </w:rPr>
        <w:t>, для їх самостійного життя у відповідних громадах.</w:t>
      </w:r>
    </w:p>
    <w:p w:rsidR="000F3BD5" w:rsidRPr="00902155" w:rsidRDefault="000F3BD5" w:rsidP="000A490C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спонукає 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вжити заходів для </w:t>
      </w:r>
      <w:proofErr w:type="spellStart"/>
      <w:r w:rsidRPr="00902155">
        <w:rPr>
          <w:b/>
          <w:sz w:val="24"/>
          <w:szCs w:val="24"/>
          <w:lang w:val="uk-UA"/>
        </w:rPr>
        <w:t>деінституціоналізації</w:t>
      </w:r>
      <w:proofErr w:type="spellEnd"/>
      <w:r w:rsidRPr="00902155">
        <w:rPr>
          <w:b/>
          <w:sz w:val="24"/>
          <w:szCs w:val="24"/>
          <w:lang w:val="uk-UA"/>
        </w:rPr>
        <w:t xml:space="preserve"> та виділити достатні ресурси на розвиток служб підтримки в місцевих громадах, які дозволили б усім особам з інвалідністю вільно обирати, з ким, де та в яких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житлових умовах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вони житимуть. </w:t>
      </w:r>
    </w:p>
    <w:p w:rsidR="000F3BD5" w:rsidRPr="00902155" w:rsidRDefault="000F3BD5" w:rsidP="00EB1397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>Свобода висловлення думки та переконань і доступ до інформації (ст. 21)</w:t>
      </w:r>
    </w:p>
    <w:p w:rsidR="000F3BD5" w:rsidRPr="00902155" w:rsidRDefault="000F3BD5" w:rsidP="00D74D1F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із занепокоєнням відзначає відсутність доступних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послуг державного мовлення, а також обмежену кількість </w:t>
      </w:r>
      <w:proofErr w:type="spellStart"/>
      <w:r w:rsidRPr="00902155">
        <w:rPr>
          <w:sz w:val="24"/>
          <w:szCs w:val="24"/>
          <w:lang w:val="uk-UA"/>
        </w:rPr>
        <w:t>сурдоперекладачів</w:t>
      </w:r>
      <w:proofErr w:type="spellEnd"/>
      <w:r w:rsidRPr="00902155">
        <w:rPr>
          <w:sz w:val="24"/>
          <w:szCs w:val="24"/>
          <w:lang w:val="uk-UA"/>
        </w:rPr>
        <w:t xml:space="preserve"> для користувачів державних послуг. </w:t>
      </w:r>
    </w:p>
    <w:p w:rsidR="000F3BD5" w:rsidRPr="00902155" w:rsidRDefault="000F3BD5" w:rsidP="0049056A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bCs/>
          <w:sz w:val="24"/>
          <w:szCs w:val="24"/>
          <w:lang w:val="uk-UA"/>
        </w:rPr>
        <w:t>Комітет</w:t>
      </w:r>
      <w:r>
        <w:rPr>
          <w:b/>
          <w:bCs/>
          <w:sz w:val="24"/>
          <w:szCs w:val="24"/>
          <w:lang w:val="uk-UA"/>
        </w:rPr>
        <w:t xml:space="preserve"> </w:t>
      </w:r>
      <w:r w:rsidRPr="00902155">
        <w:rPr>
          <w:b/>
          <w:bCs/>
          <w:sz w:val="24"/>
          <w:szCs w:val="24"/>
          <w:lang w:val="uk-UA"/>
        </w:rPr>
        <w:t>закликає Державу-учасницю</w:t>
      </w:r>
      <w:r>
        <w:rPr>
          <w:b/>
          <w:bCs/>
          <w:sz w:val="24"/>
          <w:szCs w:val="24"/>
          <w:lang w:val="uk-UA"/>
        </w:rPr>
        <w:t xml:space="preserve"> </w:t>
      </w:r>
      <w:r w:rsidRPr="00902155">
        <w:rPr>
          <w:b/>
          <w:bCs/>
          <w:sz w:val="24"/>
          <w:szCs w:val="24"/>
          <w:lang w:val="uk-UA"/>
        </w:rPr>
        <w:t>виділити достатні ф</w:t>
      </w:r>
      <w:r w:rsidRPr="00902155">
        <w:rPr>
          <w:b/>
          <w:sz w:val="24"/>
          <w:szCs w:val="24"/>
          <w:lang w:val="uk-UA"/>
        </w:rPr>
        <w:t xml:space="preserve">інансові ресурси для навчання та </w:t>
      </w:r>
      <w:r w:rsidR="00C257E4">
        <w:rPr>
          <w:b/>
          <w:sz w:val="24"/>
          <w:szCs w:val="24"/>
          <w:lang w:val="uk-UA"/>
        </w:rPr>
        <w:t xml:space="preserve">найму </w:t>
      </w:r>
      <w:proofErr w:type="spellStart"/>
      <w:r w:rsidR="00C257E4">
        <w:rPr>
          <w:b/>
          <w:sz w:val="24"/>
          <w:szCs w:val="24"/>
          <w:lang w:val="uk-UA"/>
        </w:rPr>
        <w:t>сурдоперекладачів</w:t>
      </w:r>
      <w:proofErr w:type="spellEnd"/>
      <w:r w:rsidR="00C257E4">
        <w:rPr>
          <w:b/>
          <w:sz w:val="24"/>
          <w:szCs w:val="24"/>
          <w:lang w:val="uk-UA"/>
        </w:rPr>
        <w:t xml:space="preserve"> у</w:t>
      </w:r>
      <w:r w:rsidRPr="00902155">
        <w:rPr>
          <w:b/>
          <w:sz w:val="24"/>
          <w:szCs w:val="24"/>
          <w:lang w:val="uk-UA"/>
        </w:rPr>
        <w:t xml:space="preserve"> сфері державних послуг та забезпечити достатній обсяг послуг державного мовлення, доступних для осіб з порушеннями слуху.</w:t>
      </w:r>
    </w:p>
    <w:p w:rsidR="000F3BD5" w:rsidRPr="00902155" w:rsidRDefault="000F3BD5" w:rsidP="00D74D1F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sz w:val="24"/>
          <w:szCs w:val="24"/>
          <w:lang w:val="uk-UA" w:eastAsia="sr-Latn-CS"/>
        </w:rPr>
        <w:lastRenderedPageBreak/>
        <w:t>Комітет</w:t>
      </w:r>
      <w:r>
        <w:rPr>
          <w:sz w:val="24"/>
          <w:szCs w:val="24"/>
          <w:lang w:val="uk-UA" w:eastAsia="sr-Latn-CS"/>
        </w:rPr>
        <w:t xml:space="preserve"> </w:t>
      </w:r>
      <w:r w:rsidRPr="00902155">
        <w:rPr>
          <w:sz w:val="24"/>
          <w:szCs w:val="24"/>
          <w:lang w:val="uk-UA" w:eastAsia="sr-Latn-CS"/>
        </w:rPr>
        <w:t>занепокоєний значним зменшенням урядової підтримки</w:t>
      </w:r>
      <w:r>
        <w:rPr>
          <w:sz w:val="24"/>
          <w:szCs w:val="24"/>
          <w:lang w:val="uk-UA" w:eastAsia="sr-Latn-CS"/>
        </w:rPr>
        <w:t xml:space="preserve"> </w:t>
      </w:r>
      <w:r w:rsidRPr="00902155">
        <w:rPr>
          <w:sz w:val="24"/>
          <w:szCs w:val="24"/>
          <w:lang w:val="uk-UA" w:eastAsia="sr-Latn-CS"/>
        </w:rPr>
        <w:t xml:space="preserve">публікацій абеткою </w:t>
      </w:r>
      <w:proofErr w:type="spellStart"/>
      <w:r w:rsidRPr="00902155">
        <w:rPr>
          <w:sz w:val="24"/>
          <w:szCs w:val="24"/>
          <w:lang w:val="uk-UA" w:eastAsia="sr-Latn-CS"/>
        </w:rPr>
        <w:t>Брайля</w:t>
      </w:r>
      <w:proofErr w:type="spellEnd"/>
      <w:r w:rsidRPr="00902155">
        <w:rPr>
          <w:sz w:val="24"/>
          <w:szCs w:val="24"/>
          <w:lang w:val="uk-UA" w:eastAsia="sr-Latn-CS"/>
        </w:rPr>
        <w:t xml:space="preserve"> т</w:t>
      </w:r>
      <w:r>
        <w:rPr>
          <w:sz w:val="24"/>
          <w:szCs w:val="24"/>
          <w:lang w:val="uk-UA" w:eastAsia="sr-Latn-CS"/>
        </w:rPr>
        <w:t xml:space="preserve">а </w:t>
      </w:r>
      <w:r w:rsidRPr="00902155">
        <w:rPr>
          <w:sz w:val="24"/>
          <w:szCs w:val="24"/>
          <w:lang w:val="uk-UA" w:eastAsia="sr-Latn-CS"/>
        </w:rPr>
        <w:t>аудіо-публікацій, а також відсутністю</w:t>
      </w:r>
      <w:r>
        <w:rPr>
          <w:sz w:val="24"/>
          <w:szCs w:val="24"/>
          <w:lang w:val="uk-UA" w:eastAsia="sr-Latn-CS"/>
        </w:rPr>
        <w:t xml:space="preserve"> </w:t>
      </w:r>
      <w:r w:rsidRPr="00902155">
        <w:rPr>
          <w:sz w:val="24"/>
          <w:szCs w:val="24"/>
          <w:lang w:val="uk-UA" w:eastAsia="sr-Latn-CS"/>
        </w:rPr>
        <w:t>аудіо-опису та субтитрів до відео-контенту українською мовою.</w:t>
      </w:r>
    </w:p>
    <w:p w:rsidR="000F3BD5" w:rsidRPr="00902155" w:rsidRDefault="000F3BD5" w:rsidP="00DB5C32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 w:eastAsia="sr-Latn-CS"/>
        </w:rPr>
        <w:t>Комітет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>закликає Державу-учасницю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>вжити заходів з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>інвестування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 xml:space="preserve">у публікації абеткою </w:t>
      </w:r>
      <w:proofErr w:type="spellStart"/>
      <w:r w:rsidRPr="00902155">
        <w:rPr>
          <w:b/>
          <w:sz w:val="24"/>
          <w:szCs w:val="24"/>
          <w:lang w:val="uk-UA" w:eastAsia="sr-Latn-CS"/>
        </w:rPr>
        <w:t>Брайля</w:t>
      </w:r>
      <w:proofErr w:type="spellEnd"/>
      <w:r w:rsidRPr="00902155">
        <w:rPr>
          <w:b/>
          <w:sz w:val="24"/>
          <w:szCs w:val="24"/>
          <w:lang w:val="uk-UA" w:eastAsia="sr-Latn-CS"/>
        </w:rPr>
        <w:t xml:space="preserve"> та аудіо-публікації, а також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>забезпечити наявність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>аудіо-опису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>та субтитрів українською мовою до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>відео-контенту.</w:t>
      </w:r>
    </w:p>
    <w:p w:rsidR="000F3BD5" w:rsidRPr="00902155" w:rsidRDefault="000F3BD5" w:rsidP="00D74D1F">
      <w:pPr>
        <w:pStyle w:val="H23G"/>
        <w:ind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Повага до дому та сім’ї (ст. 23)</w:t>
      </w:r>
    </w:p>
    <w:p w:rsidR="000F3BD5" w:rsidRPr="00902155" w:rsidRDefault="000F3BD5" w:rsidP="00147B0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занепокоєний повідомленнями про тиск на сім’ї з боку державних службовців та спеціалістів, які наполягають на розміщенні їх дітей з інвалідністю в інтернатах та відмовляють особам з інвалідністю у праві на сімейне життя.</w:t>
      </w:r>
    </w:p>
    <w:p w:rsidR="000F3BD5" w:rsidRPr="00902155" w:rsidRDefault="000F3BD5" w:rsidP="00DB5C32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рекомендує Державі-учасниці вжити заходів для забезпечення необхідної підтримки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сім’ям з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дітьми з інвалідністю, або гарантувати право дітей з інвалідністю зростати в сімейному оточенні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та право мати сімейне життя. </w:t>
      </w:r>
    </w:p>
    <w:p w:rsidR="000F3BD5" w:rsidRPr="00902155" w:rsidRDefault="000F3BD5" w:rsidP="00EB1397">
      <w:pPr>
        <w:pStyle w:val="H23G"/>
        <w:ind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Освіта (ст. 24)</w:t>
      </w:r>
    </w:p>
    <w:p w:rsidR="000F3BD5" w:rsidRPr="00902155" w:rsidRDefault="000F3BD5" w:rsidP="000D267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 w:rsidR="00005D47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із занепокоєнням відзначає, що спеціальні</w:t>
      </w:r>
      <w:r>
        <w:rPr>
          <w:sz w:val="24"/>
          <w:szCs w:val="24"/>
          <w:lang w:val="uk-UA"/>
        </w:rPr>
        <w:t xml:space="preserve"> </w:t>
      </w:r>
      <w:proofErr w:type="spellStart"/>
      <w:r w:rsidRPr="00902155">
        <w:rPr>
          <w:sz w:val="24"/>
          <w:szCs w:val="24"/>
          <w:lang w:val="uk-UA"/>
        </w:rPr>
        <w:t>сегреговані</w:t>
      </w:r>
      <w:proofErr w:type="spellEnd"/>
      <w:r w:rsidRPr="00902155">
        <w:rPr>
          <w:sz w:val="24"/>
          <w:szCs w:val="24"/>
          <w:lang w:val="uk-UA"/>
        </w:rPr>
        <w:t xml:space="preserve"> школи як і раніше залишаються переважаючою формою освіти для дітей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 інвалідністю. Він висловлю</w:t>
      </w:r>
      <w:r w:rsidR="00005D47">
        <w:rPr>
          <w:sz w:val="24"/>
          <w:szCs w:val="24"/>
          <w:lang w:val="uk-UA"/>
        </w:rPr>
        <w:t>є</w:t>
      </w:r>
      <w:r w:rsidRPr="00902155">
        <w:rPr>
          <w:sz w:val="24"/>
          <w:szCs w:val="24"/>
          <w:lang w:val="uk-UA"/>
        </w:rPr>
        <w:t xml:space="preserve"> жаль з приводу того, що Держава-учасниця не внесла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принципи універсального дизайну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та розумного пристосування до своєї законодавчої бази з питань освіти, а також з приводу відсутності таких заходів, як підготовка вчителів та інших фахівців, архітектурного доступу до шкільних приміщень та інших механізмів підтримки для розвитку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якісної інклюзивної освіти.</w:t>
      </w:r>
    </w:p>
    <w:p w:rsidR="000F3BD5" w:rsidRPr="00902155" w:rsidRDefault="000F3BD5" w:rsidP="007E5B8E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рекомендує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Державі-учасниці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запровадити право на інклюзивну освіту, у тому числі закріпити принципи універсального дизайну та розумного пристосування на рівні законодавства. 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закликає Державу-учасницю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активізувати свої зусилля та виділити достатні фінансові й людські ресурси на підготовку всіх вчителів,</w:t>
      </w:r>
      <w:r w:rsidR="00005D47"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доступність шкільного середовища та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освітніх установ, матеріали та програми, у тому числі інформацію та повідомлення, а також надання індивідуальної підтримки.</w:t>
      </w:r>
    </w:p>
    <w:p w:rsidR="000F3BD5" w:rsidRPr="00902155" w:rsidRDefault="000F3BD5" w:rsidP="00EB1397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>Здоров’я (ст. 25)</w:t>
      </w:r>
    </w:p>
    <w:p w:rsidR="000F3BD5" w:rsidRPr="00902155" w:rsidRDefault="000F3BD5" w:rsidP="0029139B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занепокоєний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повідомленнями про те, що особи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 інвалідністю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стикаються з труднощами доступу до медичної допомоги, зокрема в доступі до лікарських засобів та послуг з реабілітації, і що особи з інвалідністю в сільській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місцевості мають обмежений доступ до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медичних установ. Крім того, 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занепокоєний тим, що жінки та дівчата з інвалідністю мають обмежений доступ до інформації про статеве та репродуктивне здоров’я і планування сім’ї. </w:t>
      </w:r>
    </w:p>
    <w:p w:rsidR="000F3BD5" w:rsidRPr="00902155" w:rsidRDefault="000F3BD5" w:rsidP="0029139B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lastRenderedPageBreak/>
        <w:t>Комітет закликає Державу-учасницю забезпечити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усім особам з інвалідністю доступ до своєчасних і якісних медичних послуг, як в сільській місцевості, так і в містах, включаючи надання доступу до лікарських засобів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та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послуг з реабілітації та надання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інформації та послуг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стосовно статевого та репродуктивного здоров’я і планування сім’ї, особливо для жінок і </w:t>
      </w:r>
      <w:proofErr w:type="spellStart"/>
      <w:r w:rsidRPr="00902155">
        <w:rPr>
          <w:b/>
          <w:sz w:val="24"/>
          <w:szCs w:val="24"/>
          <w:lang w:val="uk-UA"/>
        </w:rPr>
        <w:t>дівчаток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з інвалідністю. </w:t>
      </w:r>
    </w:p>
    <w:p w:rsidR="000F3BD5" w:rsidRPr="00902155" w:rsidRDefault="000F3BD5" w:rsidP="00EB1397">
      <w:pPr>
        <w:pStyle w:val="H23G"/>
        <w:rPr>
          <w:sz w:val="24"/>
          <w:szCs w:val="24"/>
          <w:lang w:val="uk-UA"/>
        </w:rPr>
      </w:pPr>
      <w:bookmarkStart w:id="0" w:name="26"/>
      <w:bookmarkEnd w:id="0"/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</w:r>
      <w:proofErr w:type="spellStart"/>
      <w:r w:rsidRPr="00902155">
        <w:rPr>
          <w:sz w:val="24"/>
          <w:szCs w:val="24"/>
          <w:lang w:val="uk-UA" w:eastAsia="sr-Latn-CS"/>
        </w:rPr>
        <w:t>Абілітація</w:t>
      </w:r>
      <w:proofErr w:type="spellEnd"/>
      <w:r w:rsidRPr="00902155">
        <w:rPr>
          <w:sz w:val="24"/>
          <w:szCs w:val="24"/>
          <w:lang w:val="uk-UA" w:eastAsia="sr-Latn-CS"/>
        </w:rPr>
        <w:t xml:space="preserve"> та реабілітація (ст. 26)</w:t>
      </w:r>
    </w:p>
    <w:p w:rsidR="000F3BD5" w:rsidRPr="00902155" w:rsidRDefault="000F3BD5" w:rsidP="000D267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занепокоєний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відсутністю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в Державі-учасниці послуг та програм з </w:t>
      </w:r>
      <w:proofErr w:type="spellStart"/>
      <w:r w:rsidRPr="00902155">
        <w:rPr>
          <w:sz w:val="24"/>
          <w:szCs w:val="24"/>
          <w:lang w:val="uk-UA"/>
        </w:rPr>
        <w:t>абілітації</w:t>
      </w:r>
      <w:proofErr w:type="spellEnd"/>
      <w:r w:rsidRPr="00902155">
        <w:rPr>
          <w:sz w:val="24"/>
          <w:szCs w:val="24"/>
          <w:lang w:val="uk-UA"/>
        </w:rPr>
        <w:t xml:space="preserve"> та реабілітації, заснованих на правах осіб з інвалідністю, з метою сприяння їх фізичному, психічному та соціальному розвитку. </w:t>
      </w:r>
    </w:p>
    <w:p w:rsidR="000F3BD5" w:rsidRPr="00902155" w:rsidRDefault="000F3BD5" w:rsidP="000D267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спонукає Державу-учасницю створити доступні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shd w:val="clear" w:color="auto" w:fill="FFFFFF"/>
          <w:lang w:val="uk-UA"/>
        </w:rPr>
        <w:t>комплексні</w:t>
      </w:r>
      <w:r>
        <w:rPr>
          <w:b/>
          <w:sz w:val="24"/>
          <w:szCs w:val="24"/>
          <w:shd w:val="clear" w:color="auto" w:fill="FFFFFF"/>
          <w:lang w:val="uk-UA"/>
        </w:rPr>
        <w:t xml:space="preserve"> </w:t>
      </w:r>
      <w:r w:rsidRPr="00902155">
        <w:rPr>
          <w:b/>
          <w:sz w:val="24"/>
          <w:szCs w:val="24"/>
          <w:shd w:val="clear" w:color="auto" w:fill="FFFFFF"/>
          <w:lang w:val="uk-UA"/>
        </w:rPr>
        <w:t xml:space="preserve">послуги та програми </w:t>
      </w:r>
      <w:proofErr w:type="spellStart"/>
      <w:r w:rsidRPr="00902155">
        <w:rPr>
          <w:b/>
          <w:sz w:val="24"/>
          <w:szCs w:val="24"/>
          <w:shd w:val="clear" w:color="auto" w:fill="FFFFFF"/>
          <w:lang w:val="uk-UA"/>
        </w:rPr>
        <w:t>абілітації</w:t>
      </w:r>
      <w:proofErr w:type="spellEnd"/>
      <w:r w:rsidRPr="00902155">
        <w:rPr>
          <w:b/>
          <w:sz w:val="24"/>
          <w:szCs w:val="24"/>
          <w:shd w:val="clear" w:color="auto" w:fill="FFFFFF"/>
          <w:lang w:val="uk-UA"/>
        </w:rPr>
        <w:t xml:space="preserve"> та реабілітації, такі як</w:t>
      </w:r>
      <w:r>
        <w:rPr>
          <w:b/>
          <w:sz w:val="24"/>
          <w:szCs w:val="24"/>
          <w:shd w:val="clear" w:color="auto" w:fill="FFFFFF"/>
          <w:lang w:val="uk-UA"/>
        </w:rPr>
        <w:t xml:space="preserve"> </w:t>
      </w:r>
      <w:r w:rsidRPr="00902155">
        <w:rPr>
          <w:b/>
          <w:sz w:val="24"/>
          <w:szCs w:val="24"/>
          <w:shd w:val="clear" w:color="auto" w:fill="FFFFFF"/>
          <w:lang w:val="uk-UA"/>
        </w:rPr>
        <w:t xml:space="preserve">раннє втручання, забезпечивши комплексну, міждисциплінарну та </w:t>
      </w:r>
      <w:r w:rsidRPr="00902155">
        <w:rPr>
          <w:b/>
          <w:sz w:val="24"/>
          <w:szCs w:val="24"/>
          <w:lang w:val="uk-UA"/>
        </w:rPr>
        <w:t xml:space="preserve">індивідуальну підтримку </w:t>
      </w:r>
      <w:r w:rsidRPr="00902155">
        <w:rPr>
          <w:b/>
          <w:sz w:val="24"/>
          <w:szCs w:val="24"/>
          <w:shd w:val="clear" w:color="auto" w:fill="FFFFFF"/>
          <w:lang w:val="uk-UA"/>
        </w:rPr>
        <w:t>особам з інвалідністю та їх сім’ям.</w:t>
      </w:r>
    </w:p>
    <w:p w:rsidR="000F3BD5" w:rsidRPr="00902155" w:rsidRDefault="000F3BD5" w:rsidP="00A565CD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>Праця та зайнятість(ст. 27)</w:t>
      </w:r>
    </w:p>
    <w:p w:rsidR="000F3BD5" w:rsidRPr="00902155" w:rsidRDefault="000F3BD5" w:rsidP="002E1E3D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занепокоєний тим,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вимога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квоти працевлаштування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не виконується належним чином, і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більшість осіб з інвалідністю залишаються безробітними.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Крім того, Комітет занепокоєний відсутністю можливостей для працевлаштування осіб з розумовою та психосоціальною інвалідністю та відсутністю політик або програм підтриманого працевлаштування на відкритому ринку праці.</w:t>
      </w:r>
    </w:p>
    <w:p w:rsidR="000F3BD5" w:rsidRPr="00902155" w:rsidRDefault="000F3BD5" w:rsidP="004A584E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закликає Державу-учасницю забезпечити ефективну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реалізацію конструктивних заходів та посилити стимулювання бізнесу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та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державного сектору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до такого працевлаштування. 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також рекомендує Державі-учасниці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вжити заходів для передбачення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підтриманого працевлаштування осіб з розумовою та психосоціальною інвалідністю на відкритому ринку праці.</w:t>
      </w:r>
    </w:p>
    <w:p w:rsidR="000F3BD5" w:rsidRPr="00902155" w:rsidRDefault="000F3BD5" w:rsidP="006F4100">
      <w:pPr>
        <w:pStyle w:val="H23G"/>
        <w:rPr>
          <w:sz w:val="24"/>
          <w:szCs w:val="24"/>
          <w:lang w:val="uk-UA" w:eastAsia="sr-Latn-CS"/>
        </w:rPr>
      </w:pPr>
      <w:r>
        <w:rPr>
          <w:sz w:val="24"/>
          <w:szCs w:val="24"/>
          <w:lang w:val="uk-UA" w:eastAsia="sr-Latn-CS"/>
        </w:rPr>
        <w:tab/>
      </w:r>
      <w:r>
        <w:rPr>
          <w:sz w:val="24"/>
          <w:szCs w:val="24"/>
          <w:lang w:val="uk-UA" w:eastAsia="sr-Latn-CS"/>
        </w:rPr>
        <w:tab/>
        <w:t xml:space="preserve">Достатній </w:t>
      </w:r>
      <w:r w:rsidRPr="00902155">
        <w:rPr>
          <w:sz w:val="24"/>
          <w:szCs w:val="24"/>
          <w:lang w:val="uk-UA" w:eastAsia="sr-Latn-CS"/>
        </w:rPr>
        <w:t xml:space="preserve"> рівень </w:t>
      </w:r>
      <w:r>
        <w:rPr>
          <w:sz w:val="24"/>
          <w:szCs w:val="24"/>
          <w:lang w:val="uk-UA" w:eastAsia="sr-Latn-CS"/>
        </w:rPr>
        <w:t xml:space="preserve">життя </w:t>
      </w:r>
      <w:r w:rsidRPr="00902155">
        <w:rPr>
          <w:sz w:val="24"/>
          <w:szCs w:val="24"/>
          <w:lang w:val="uk-UA" w:eastAsia="sr-Latn-CS"/>
        </w:rPr>
        <w:t>та соціальний захист (ст. 28)</w:t>
      </w:r>
    </w:p>
    <w:p w:rsidR="000F3BD5" w:rsidRPr="00902155" w:rsidRDefault="000F3BD5" w:rsidP="003636E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Відзначаючи труднощі, з якими стикається Держава-учасниця внаслідок конфлікту, що триває, Комітет, тим не менш,</w:t>
      </w:r>
      <w:r w:rsidR="00005D47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занепокоєний тим, що пенсії по інвалідності є надзвичайно низькими і не достатніми для задоволення основних потреб людини, в тому числі харчування,</w:t>
      </w:r>
      <w:r w:rsidR="00005D47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 xml:space="preserve">медичних та соціальних потреб. </w:t>
      </w:r>
    </w:p>
    <w:p w:rsidR="000F3BD5" w:rsidRPr="00902155" w:rsidRDefault="000F3BD5" w:rsidP="003636E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закликає Державу-учасницю переглянути свої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бюджетні асигнування та підвищити пенсії по інвалідності для того, щоб забезпечити особам з інвалідністю достатній життєвий рівень. 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також рекомендує Державі-учасниці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подбати про те, щоб ресурси для осіб з інвалідністю не зазнавали негативного впливу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інфляції,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скорочень бюджету або будь-яких форм кризи.  </w:t>
      </w:r>
    </w:p>
    <w:p w:rsidR="000F3BD5" w:rsidRPr="00902155" w:rsidRDefault="000F3BD5" w:rsidP="006F4100">
      <w:pPr>
        <w:pStyle w:val="H23G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lastRenderedPageBreak/>
        <w:tab/>
      </w:r>
      <w:r w:rsidRPr="00902155">
        <w:rPr>
          <w:sz w:val="24"/>
          <w:szCs w:val="24"/>
          <w:lang w:val="uk-UA"/>
        </w:rPr>
        <w:tab/>
      </w:r>
      <w:r w:rsidRPr="00902155">
        <w:rPr>
          <w:sz w:val="24"/>
          <w:szCs w:val="24"/>
          <w:lang w:val="uk-UA" w:eastAsia="sr-Latn-CS"/>
        </w:rPr>
        <w:t>Участь у політичному та суспільному житті (ст. 29)</w:t>
      </w:r>
    </w:p>
    <w:p w:rsidR="000F3BD5" w:rsidRPr="00902155" w:rsidRDefault="000F3BD5" w:rsidP="003636E6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Cs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 занепокоєний тим, що законодавство Держави-учасниці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не дозволяє громадянам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з інвалідністю, чию правоздатність обмежено,</w:t>
      </w:r>
      <w:r w:rsidR="00005D47"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повною мірою здійснювати своє право голосу. 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також занепокоєний тим, що</w:t>
      </w:r>
      <w:r>
        <w:rPr>
          <w:sz w:val="24"/>
          <w:szCs w:val="24"/>
          <w:lang w:val="uk-UA"/>
        </w:rPr>
        <w:t xml:space="preserve"> </w:t>
      </w:r>
      <w:r w:rsidRPr="00902155">
        <w:rPr>
          <w:sz w:val="24"/>
          <w:szCs w:val="24"/>
          <w:lang w:val="uk-UA"/>
        </w:rPr>
        <w:t>виборчі матеріали не надаються в форматах, доступних для людей з вадами зору та глухих.</w:t>
      </w:r>
    </w:p>
    <w:p w:rsidR="000F3BD5" w:rsidRPr="00902155" w:rsidRDefault="000F3BD5" w:rsidP="006A41FC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 рекомендує Державі-учасниці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 w:rsidRPr="00902155">
        <w:rPr>
          <w:b/>
          <w:sz w:val="24"/>
          <w:szCs w:val="24"/>
          <w:lang w:val="uk-UA"/>
        </w:rPr>
        <w:t>внести</w:t>
      </w:r>
      <w:proofErr w:type="spellEnd"/>
      <w:r w:rsidRPr="00902155">
        <w:rPr>
          <w:b/>
          <w:sz w:val="24"/>
          <w:szCs w:val="24"/>
          <w:lang w:val="uk-UA"/>
        </w:rPr>
        <w:t xml:space="preserve"> зміни до відповідних законів, аби особи з інвалідністю могли здійснювати своє право обирати і бути обраними незалежно від опіки чи інших режимів. Він також рекомендує Державі-учасниці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забезпечити, шляхом законодавчих та інших заходів, доступність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бюлетенів і виборчих матеріалів та виборчих дільниць. </w:t>
      </w:r>
    </w:p>
    <w:p w:rsidR="000F3BD5" w:rsidRPr="00902155" w:rsidRDefault="000F3BD5" w:rsidP="00F518D1">
      <w:pPr>
        <w:pStyle w:val="H23G"/>
        <w:ind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 xml:space="preserve">Участь у культурному житті, </w:t>
      </w:r>
      <w:r>
        <w:rPr>
          <w:sz w:val="24"/>
          <w:szCs w:val="24"/>
          <w:lang w:val="uk-UA"/>
        </w:rPr>
        <w:t xml:space="preserve">проведення дозвілля та відпочинку </w:t>
      </w:r>
      <w:r w:rsidRPr="00902155">
        <w:rPr>
          <w:sz w:val="24"/>
          <w:szCs w:val="24"/>
          <w:lang w:val="uk-UA"/>
        </w:rPr>
        <w:t xml:space="preserve">та </w:t>
      </w:r>
      <w:r>
        <w:rPr>
          <w:sz w:val="24"/>
          <w:szCs w:val="24"/>
          <w:lang w:val="uk-UA"/>
        </w:rPr>
        <w:t>заняття спортом</w:t>
      </w:r>
      <w:r w:rsidRPr="00902155">
        <w:rPr>
          <w:sz w:val="24"/>
          <w:szCs w:val="24"/>
          <w:lang w:val="uk-UA"/>
        </w:rPr>
        <w:t xml:space="preserve"> (ст. 30)</w:t>
      </w:r>
    </w:p>
    <w:p w:rsidR="000F3BD5" w:rsidRPr="00902155" w:rsidRDefault="000F3BD5" w:rsidP="003A476C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 xml:space="preserve">Комітет занепокоєний тим, що Держава-учасниця не ратифікувала </w:t>
      </w:r>
      <w:proofErr w:type="spellStart"/>
      <w:r w:rsidRPr="00902155">
        <w:rPr>
          <w:sz w:val="24"/>
          <w:szCs w:val="24"/>
          <w:lang w:val="uk-UA"/>
        </w:rPr>
        <w:t>Марракеський</w:t>
      </w:r>
      <w:proofErr w:type="spellEnd"/>
      <w:r w:rsidRPr="00902155">
        <w:rPr>
          <w:sz w:val="24"/>
          <w:szCs w:val="24"/>
          <w:lang w:val="uk-UA"/>
        </w:rPr>
        <w:t xml:space="preserve"> договір про полегшення доступ</w:t>
      </w:r>
      <w:r>
        <w:rPr>
          <w:sz w:val="24"/>
          <w:szCs w:val="24"/>
          <w:lang w:val="uk-UA"/>
        </w:rPr>
        <w:t>у до опублікованих творів незрячим</w:t>
      </w:r>
      <w:r w:rsidRPr="00902155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слабозорим</w:t>
      </w:r>
      <w:proofErr w:type="spellEnd"/>
      <w:r>
        <w:rPr>
          <w:sz w:val="24"/>
          <w:szCs w:val="24"/>
          <w:lang w:val="uk-UA"/>
        </w:rPr>
        <w:t xml:space="preserve"> та особам, які </w:t>
      </w:r>
      <w:r w:rsidRPr="00902155">
        <w:rPr>
          <w:sz w:val="24"/>
          <w:szCs w:val="24"/>
          <w:lang w:val="uk-UA"/>
        </w:rPr>
        <w:t xml:space="preserve"> позбавлені можливості сприйняття друку.</w:t>
      </w:r>
    </w:p>
    <w:p w:rsidR="000F3BD5" w:rsidRPr="00902155" w:rsidRDefault="000F3BD5" w:rsidP="00C92C34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sz w:val="24"/>
          <w:szCs w:val="24"/>
          <w:lang w:val="uk-UA"/>
        </w:rPr>
        <w:t>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закликає Державу-учасницю вжити всіх належних заходів для якнайшвидшої ратифікації та виконання </w:t>
      </w:r>
      <w:proofErr w:type="spellStart"/>
      <w:r w:rsidRPr="00902155">
        <w:rPr>
          <w:b/>
          <w:sz w:val="24"/>
          <w:szCs w:val="24"/>
          <w:lang w:val="uk-UA"/>
        </w:rPr>
        <w:t>Марракеського</w:t>
      </w:r>
      <w:proofErr w:type="spellEnd"/>
      <w:r w:rsidRPr="00902155">
        <w:rPr>
          <w:b/>
          <w:sz w:val="24"/>
          <w:szCs w:val="24"/>
          <w:lang w:val="uk-UA"/>
        </w:rPr>
        <w:t xml:space="preserve"> договору.</w:t>
      </w:r>
    </w:p>
    <w:p w:rsidR="000F3BD5" w:rsidRPr="00902155" w:rsidRDefault="000F3BD5" w:rsidP="00A51597">
      <w:pPr>
        <w:pStyle w:val="HChG"/>
        <w:rPr>
          <w:rFonts w:eastAsia="SimSun"/>
          <w:sz w:val="24"/>
          <w:szCs w:val="24"/>
          <w:lang w:val="uk-UA"/>
        </w:rPr>
      </w:pPr>
      <w:r w:rsidRPr="00902155">
        <w:rPr>
          <w:rFonts w:eastAsia="SimSun"/>
          <w:sz w:val="24"/>
          <w:szCs w:val="24"/>
          <w:lang w:val="uk-UA"/>
        </w:rPr>
        <w:tab/>
        <w:t>C.</w:t>
      </w:r>
      <w:r w:rsidRPr="00902155">
        <w:rPr>
          <w:rFonts w:eastAsia="SimSun"/>
          <w:sz w:val="24"/>
          <w:szCs w:val="24"/>
          <w:lang w:val="uk-UA"/>
        </w:rPr>
        <w:tab/>
        <w:t>Особливі зобов’язання</w:t>
      </w:r>
    </w:p>
    <w:p w:rsidR="000F3BD5" w:rsidRPr="00902155" w:rsidRDefault="000F3BD5" w:rsidP="004C5BB5">
      <w:pPr>
        <w:pStyle w:val="H23G"/>
        <w:rPr>
          <w:sz w:val="24"/>
          <w:szCs w:val="24"/>
          <w:lang w:val="uk-UA" w:eastAsia="sr-Latn-CS"/>
        </w:rPr>
      </w:pPr>
      <w:r w:rsidRPr="00902155">
        <w:rPr>
          <w:sz w:val="24"/>
          <w:szCs w:val="24"/>
          <w:lang w:val="uk-UA" w:eastAsia="sr-Latn-CS"/>
        </w:rPr>
        <w:tab/>
      </w:r>
      <w:r w:rsidRPr="00902155">
        <w:rPr>
          <w:sz w:val="24"/>
          <w:szCs w:val="24"/>
          <w:lang w:val="uk-UA" w:eastAsia="sr-Latn-CS"/>
        </w:rPr>
        <w:tab/>
        <w:t>Статистика та збирання даних (ст. 31)</w:t>
      </w:r>
    </w:p>
    <w:p w:rsidR="000F3BD5" w:rsidRPr="00902155" w:rsidRDefault="000F3BD5" w:rsidP="004C5BB5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Cs/>
          <w:sz w:val="24"/>
          <w:szCs w:val="24"/>
          <w:lang w:val="uk-UA" w:eastAsia="sr-Latn-CS"/>
        </w:rPr>
      </w:pPr>
      <w:r w:rsidRPr="00902155">
        <w:rPr>
          <w:sz w:val="24"/>
          <w:szCs w:val="24"/>
          <w:lang w:val="uk-UA" w:eastAsia="sr-Latn-CS"/>
        </w:rPr>
        <w:t>Комітет із занепокоєнням відзначає відсутність статистичної інформації про ситуацію осіб з інвалідністю в Держ</w:t>
      </w:r>
      <w:r>
        <w:rPr>
          <w:sz w:val="24"/>
          <w:szCs w:val="24"/>
          <w:lang w:val="uk-UA" w:eastAsia="sr-Latn-CS"/>
        </w:rPr>
        <w:t>аві-члені,</w:t>
      </w:r>
      <w:r w:rsidR="00005D47">
        <w:rPr>
          <w:sz w:val="24"/>
          <w:szCs w:val="24"/>
          <w:lang w:val="uk-UA" w:eastAsia="sr-Latn-CS"/>
        </w:rPr>
        <w:t xml:space="preserve"> </w:t>
      </w:r>
      <w:r>
        <w:rPr>
          <w:sz w:val="24"/>
          <w:szCs w:val="24"/>
          <w:lang w:val="uk-UA" w:eastAsia="sr-Latn-CS"/>
        </w:rPr>
        <w:t>зокрема за групами порушень</w:t>
      </w:r>
      <w:r w:rsidRPr="00902155">
        <w:rPr>
          <w:sz w:val="24"/>
          <w:szCs w:val="24"/>
          <w:lang w:val="uk-UA" w:eastAsia="sr-Latn-CS"/>
        </w:rPr>
        <w:t>, та відсутність даних з розбивкою за інвалідністю</w:t>
      </w:r>
      <w:r>
        <w:rPr>
          <w:sz w:val="24"/>
          <w:szCs w:val="24"/>
          <w:lang w:val="uk-UA" w:eastAsia="sr-Latn-CS"/>
        </w:rPr>
        <w:t xml:space="preserve"> </w:t>
      </w:r>
      <w:r w:rsidRPr="00902155">
        <w:rPr>
          <w:sz w:val="24"/>
          <w:szCs w:val="24"/>
          <w:lang w:val="uk-UA" w:eastAsia="sr-Latn-CS"/>
        </w:rPr>
        <w:t>по всім секторам,</w:t>
      </w:r>
      <w:r>
        <w:rPr>
          <w:sz w:val="24"/>
          <w:szCs w:val="24"/>
          <w:lang w:val="uk-UA" w:eastAsia="sr-Latn-CS"/>
        </w:rPr>
        <w:t xml:space="preserve"> </w:t>
      </w:r>
      <w:r w:rsidRPr="00902155">
        <w:rPr>
          <w:sz w:val="24"/>
          <w:szCs w:val="24"/>
          <w:lang w:val="uk-UA" w:eastAsia="sr-Latn-CS"/>
        </w:rPr>
        <w:t>що перешкоджає розробці ефективної політики.</w:t>
      </w:r>
    </w:p>
    <w:p w:rsidR="000F3BD5" w:rsidRPr="00902155" w:rsidRDefault="000F3BD5" w:rsidP="004C5BB5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 w:eastAsia="sr-Latn-CS"/>
        </w:rPr>
      </w:pPr>
      <w:r w:rsidRPr="00902155">
        <w:rPr>
          <w:b/>
          <w:sz w:val="24"/>
          <w:szCs w:val="24"/>
          <w:lang w:val="uk-UA" w:eastAsia="sr-Latn-CS"/>
        </w:rPr>
        <w:t>Комітет рекомендує Державі-учасниці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>провести реформу системи збирання даних та збирати дані про ситуацію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>осіб з інвалідністю, з розбивкою за віком та статтю,</w:t>
      </w:r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 xml:space="preserve">зокрема осіб з інвалідністю з </w:t>
      </w:r>
      <w:proofErr w:type="spellStart"/>
      <w:r w:rsidRPr="00902155">
        <w:rPr>
          <w:b/>
          <w:sz w:val="24"/>
          <w:szCs w:val="24"/>
          <w:lang w:val="uk-UA" w:eastAsia="sr-Latn-CS"/>
        </w:rPr>
        <w:t>маргіналізованих</w:t>
      </w:r>
      <w:proofErr w:type="spellEnd"/>
      <w:r>
        <w:rPr>
          <w:b/>
          <w:sz w:val="24"/>
          <w:szCs w:val="24"/>
          <w:lang w:val="uk-UA" w:eastAsia="sr-Latn-CS"/>
        </w:rPr>
        <w:t xml:space="preserve"> </w:t>
      </w:r>
      <w:r w:rsidRPr="00902155">
        <w:rPr>
          <w:b/>
          <w:sz w:val="24"/>
          <w:szCs w:val="24"/>
          <w:lang w:val="uk-UA" w:eastAsia="sr-Latn-CS"/>
        </w:rPr>
        <w:t>спільнот, по всім секторам, включаючи охорону здоров’я, освіту, працевлаштування, участь у політичному житті, доступ до правосуддя, соціальний захист, насильство, міграцію та внутрішнє переміщення.</w:t>
      </w:r>
    </w:p>
    <w:p w:rsidR="000F3BD5" w:rsidRPr="00902155" w:rsidRDefault="000F3BD5" w:rsidP="00A51597">
      <w:pPr>
        <w:pStyle w:val="H23G"/>
        <w:rPr>
          <w:sz w:val="24"/>
          <w:szCs w:val="24"/>
          <w:lang w:val="uk-UA" w:eastAsia="sr-Latn-CS"/>
        </w:rPr>
      </w:pPr>
      <w:r w:rsidRPr="00902155">
        <w:rPr>
          <w:sz w:val="24"/>
          <w:szCs w:val="24"/>
          <w:lang w:val="uk-UA" w:eastAsia="sr-Latn-CS"/>
        </w:rPr>
        <w:tab/>
      </w:r>
      <w:r w:rsidRPr="00902155">
        <w:rPr>
          <w:sz w:val="24"/>
          <w:szCs w:val="24"/>
          <w:lang w:val="uk-UA" w:eastAsia="sr-Latn-CS"/>
        </w:rPr>
        <w:tab/>
        <w:t>Національне впровадження та моніторинг (ст. 33)</w:t>
      </w:r>
    </w:p>
    <w:p w:rsidR="000F3BD5" w:rsidRPr="00902155" w:rsidRDefault="000F3BD5" w:rsidP="002D5E9F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Cs/>
          <w:sz w:val="24"/>
          <w:szCs w:val="24"/>
          <w:lang w:val="uk-UA"/>
        </w:rPr>
        <w:t>Комітеті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з занепокоєнням відзначає відсутність незалежного механізму здійснення моніторингу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впровадження прав осіб з інвалідністю. Комітет також занепокоєний тим, що консультації з громадськими організаціями, які працюють над правами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 xml:space="preserve">осіб з </w:t>
      </w:r>
      <w:proofErr w:type="spellStart"/>
      <w:r w:rsidRPr="00902155">
        <w:rPr>
          <w:bCs/>
          <w:sz w:val="24"/>
          <w:szCs w:val="24"/>
          <w:lang w:val="uk-UA"/>
        </w:rPr>
        <w:t>інвалідністю,не</w:t>
      </w:r>
      <w:proofErr w:type="spellEnd"/>
      <w:r w:rsidRPr="00902155">
        <w:rPr>
          <w:bCs/>
          <w:sz w:val="24"/>
          <w:szCs w:val="24"/>
          <w:lang w:val="uk-UA"/>
        </w:rPr>
        <w:t xml:space="preserve"> є систематичним та часто мають формальний характер.</w:t>
      </w:r>
    </w:p>
    <w:p w:rsidR="000F3BD5" w:rsidRPr="00902155" w:rsidRDefault="000F3BD5" w:rsidP="00644F32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/>
          <w:bCs/>
          <w:sz w:val="24"/>
          <w:szCs w:val="24"/>
          <w:lang w:val="uk-UA"/>
        </w:rPr>
        <w:lastRenderedPageBreak/>
        <w:t>Комітет</w:t>
      </w:r>
      <w:r>
        <w:rPr>
          <w:b/>
          <w:bCs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рекомендує Державі-учасниці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створити незалежний орган, якому має бути доручено здійснення незалежного національного моніторингового механізму відповідно до статті 33, пункту 2Конвенції та у відповідності згідно з принципами щодо статусу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національних установ із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заохочення та захисту прав людини (Паризькі принципи), із виділенням відповідних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фінансових та людських ресурсів. Комітет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також рекомендує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 xml:space="preserve">Державі-учасниці забезпечити </w:t>
      </w:r>
      <w:r w:rsidRPr="00902155">
        <w:rPr>
          <w:b/>
          <w:i/>
          <w:sz w:val="24"/>
          <w:szCs w:val="24"/>
          <w:lang w:val="uk-UA"/>
        </w:rPr>
        <w:t>юридичну</w:t>
      </w:r>
      <w:r w:rsidRPr="00902155">
        <w:rPr>
          <w:b/>
          <w:sz w:val="24"/>
          <w:szCs w:val="24"/>
          <w:lang w:val="uk-UA"/>
        </w:rPr>
        <w:t xml:space="preserve"> участь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організацій осіб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 інвалідністю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та інших організацій громадянського суспільства, які працюють над правами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осіб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 інвалідністю,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у всіх законодавчих, фінансових та політичних рішеннях, які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можуть мати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вплив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на людей</w:t>
      </w:r>
      <w:r>
        <w:rPr>
          <w:b/>
          <w:sz w:val="24"/>
          <w:szCs w:val="24"/>
          <w:lang w:val="uk-UA"/>
        </w:rPr>
        <w:t xml:space="preserve"> </w:t>
      </w:r>
      <w:r w:rsidRPr="00902155">
        <w:rPr>
          <w:b/>
          <w:sz w:val="24"/>
          <w:szCs w:val="24"/>
          <w:lang w:val="uk-UA"/>
        </w:rPr>
        <w:t>з інвалідністю.</w:t>
      </w:r>
    </w:p>
    <w:p w:rsidR="000F3BD5" w:rsidRPr="00902155" w:rsidRDefault="000F3BD5" w:rsidP="00644F32">
      <w:pPr>
        <w:pStyle w:val="H23G"/>
        <w:ind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Наступні заходи і поширення</w:t>
      </w:r>
    </w:p>
    <w:p w:rsidR="000F3BD5" w:rsidRPr="00902155" w:rsidRDefault="000F3BD5" w:rsidP="00F17642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Cs/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Комітет</w:t>
      </w:r>
      <w:r>
        <w:rPr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просить Державу-учасницю, протягом 12 місяців та у відповідності до статті 35, пункту 2Конвенції, надати інформацію про заходи,</w:t>
      </w:r>
      <w:r w:rsidR="00005D47">
        <w:rPr>
          <w:bCs/>
          <w:sz w:val="24"/>
          <w:szCs w:val="24"/>
          <w:lang w:val="uk-UA"/>
        </w:rPr>
        <w:t xml:space="preserve"> </w:t>
      </w:r>
      <w:bookmarkStart w:id="1" w:name="_GoBack"/>
      <w:bookmarkEnd w:id="1"/>
      <w:r w:rsidRPr="00902155">
        <w:rPr>
          <w:bCs/>
          <w:sz w:val="24"/>
          <w:szCs w:val="24"/>
          <w:lang w:val="uk-UA"/>
        </w:rPr>
        <w:t>вжиті з метою впровадження рекомендацій Комітету, викладених в</w:t>
      </w:r>
      <w:r>
        <w:rPr>
          <w:bCs/>
          <w:sz w:val="24"/>
          <w:szCs w:val="24"/>
          <w:lang w:val="uk-UA"/>
        </w:rPr>
        <w:t xml:space="preserve"> пункті (</w:t>
      </w:r>
      <w:r w:rsidRPr="00902155">
        <w:rPr>
          <w:bCs/>
          <w:sz w:val="24"/>
          <w:szCs w:val="24"/>
          <w:lang w:val="uk-UA"/>
        </w:rPr>
        <w:t>13і 22 ) вище. Комітет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запрошує Державу-учасницю виконати рекомендації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Комітету, що містяться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в цих заключних положеннях. Він рекомендує Державі-учасниці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передати заключні зауваження для розгляду та прийняття членам Уряду та Парламенту, посадовим особам у відповідних міністерствах, місцевим державним органам та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членам відповідних професійних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груп, таких як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фахівці в освітній, медичній та юридичній сферах, а також засобам інформації, що використовують сучасні соціальні комунікативні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стратегії.</w:t>
      </w:r>
    </w:p>
    <w:p w:rsidR="000F3BD5" w:rsidRPr="00902155" w:rsidRDefault="000F3BD5" w:rsidP="00854A35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Cs/>
          <w:sz w:val="24"/>
          <w:szCs w:val="24"/>
          <w:lang w:val="uk-UA"/>
        </w:rPr>
      </w:pPr>
      <w:r w:rsidRPr="00902155">
        <w:rPr>
          <w:bCs/>
          <w:sz w:val="24"/>
          <w:szCs w:val="24"/>
          <w:lang w:val="uk-UA"/>
        </w:rPr>
        <w:t>Комітет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наполегливо рекомендує Державі-учасниці залучити організації громадянського суспільства, зокрема організації осіб з інвалідністю, до підготовки її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періодичного звіту.</w:t>
      </w:r>
    </w:p>
    <w:p w:rsidR="000F3BD5" w:rsidRPr="00902155" w:rsidRDefault="000F3BD5" w:rsidP="00854A35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Cs/>
          <w:sz w:val="24"/>
          <w:szCs w:val="24"/>
          <w:lang w:val="uk-UA"/>
        </w:rPr>
      </w:pPr>
      <w:r w:rsidRPr="00902155">
        <w:rPr>
          <w:bCs/>
          <w:sz w:val="24"/>
          <w:szCs w:val="24"/>
          <w:lang w:val="uk-UA"/>
        </w:rPr>
        <w:t>Комітет запрошує Державу-учасницю поширити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ці заключні зауваження, у тому числі довести їх до відома неурядових організацій та представницьких організацій інвалідів, а також самих осіб з інвалідністю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та членів їх сімей, державною мовою та мовами національних меншин, включаючи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жестову мову, та в доступних форматах, а також опублікувати їх на урядовому веб-сайті з прав людини.</w:t>
      </w:r>
    </w:p>
    <w:p w:rsidR="000F3BD5" w:rsidRPr="00902155" w:rsidRDefault="000F3BD5" w:rsidP="00A51597">
      <w:pPr>
        <w:pStyle w:val="H23G"/>
        <w:ind w:firstLine="0"/>
        <w:rPr>
          <w:sz w:val="24"/>
          <w:szCs w:val="24"/>
          <w:lang w:val="uk-UA"/>
        </w:rPr>
      </w:pPr>
      <w:r w:rsidRPr="00902155">
        <w:rPr>
          <w:sz w:val="24"/>
          <w:szCs w:val="24"/>
          <w:lang w:val="uk-UA"/>
        </w:rPr>
        <w:t>Наступний звіт</w:t>
      </w:r>
    </w:p>
    <w:p w:rsidR="000F3BD5" w:rsidRPr="00902155" w:rsidRDefault="000F3BD5" w:rsidP="00F17642">
      <w:pPr>
        <w:pStyle w:val="SingleTxtG"/>
        <w:numPr>
          <w:ilvl w:val="0"/>
          <w:numId w:val="3"/>
        </w:numPr>
        <w:tabs>
          <w:tab w:val="left" w:pos="1701"/>
        </w:tabs>
        <w:ind w:left="1134" w:firstLine="0"/>
        <w:rPr>
          <w:b/>
          <w:sz w:val="24"/>
          <w:szCs w:val="24"/>
          <w:lang w:val="uk-UA"/>
        </w:rPr>
      </w:pPr>
      <w:r w:rsidRPr="00902155">
        <w:rPr>
          <w:bCs/>
          <w:sz w:val="24"/>
          <w:szCs w:val="24"/>
          <w:lang w:val="uk-UA"/>
        </w:rPr>
        <w:t>Комітет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просить Державу-учасницю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подати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свої об’єднані другий і третій періодичні звіти не пізніше ніж 4 березня 2020 року та включити до них інформацію про впровадження зазначених заключних зауважень.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Комітет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запрошує Державу-учасницю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розглянути питання про подання зазначених вище звітів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за спрощеною звітною процедурою Комітету, відповідно до якої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>Комітет готує перелік питань</w:t>
      </w:r>
      <w:r>
        <w:rPr>
          <w:bCs/>
          <w:sz w:val="24"/>
          <w:szCs w:val="24"/>
          <w:lang w:val="uk-UA"/>
        </w:rPr>
        <w:t xml:space="preserve"> </w:t>
      </w:r>
      <w:r w:rsidRPr="00902155">
        <w:rPr>
          <w:bCs/>
          <w:sz w:val="24"/>
          <w:szCs w:val="24"/>
          <w:lang w:val="uk-UA"/>
        </w:rPr>
        <w:t xml:space="preserve">принаймні за один рік до термінів подання, встановлених для звіту / об’єднаних звітів </w:t>
      </w:r>
      <w:r w:rsidRPr="00902155">
        <w:rPr>
          <w:bCs/>
          <w:sz w:val="24"/>
          <w:szCs w:val="24"/>
          <w:lang w:val="uk-UA"/>
        </w:rPr>
        <w:lastRenderedPageBreak/>
        <w:t>Держави-учасниці. Відповіді Держави-учасниці на такий перелік питань становлять її звіт.</w:t>
      </w:r>
    </w:p>
    <w:p w:rsidR="000F3BD5" w:rsidRPr="00902155" w:rsidRDefault="000F3BD5" w:rsidP="0024024E">
      <w:pPr>
        <w:spacing w:before="240"/>
        <w:ind w:left="1134" w:right="1134"/>
        <w:jc w:val="center"/>
        <w:rPr>
          <w:sz w:val="24"/>
          <w:szCs w:val="24"/>
          <w:u w:val="single"/>
          <w:lang w:val="uk-UA"/>
        </w:rPr>
      </w:pPr>
      <w:r w:rsidRPr="00902155">
        <w:rPr>
          <w:sz w:val="24"/>
          <w:szCs w:val="24"/>
          <w:u w:val="single"/>
          <w:lang w:val="uk-UA"/>
        </w:rPr>
        <w:tab/>
      </w:r>
      <w:r w:rsidRPr="00902155">
        <w:rPr>
          <w:sz w:val="24"/>
          <w:szCs w:val="24"/>
          <w:u w:val="single"/>
          <w:lang w:val="uk-UA"/>
        </w:rPr>
        <w:tab/>
      </w:r>
      <w:r w:rsidRPr="00902155">
        <w:rPr>
          <w:sz w:val="24"/>
          <w:szCs w:val="24"/>
          <w:u w:val="single"/>
          <w:lang w:val="uk-UA"/>
        </w:rPr>
        <w:tab/>
      </w:r>
    </w:p>
    <w:sectPr w:rsidR="000F3BD5" w:rsidRPr="00902155" w:rsidSect="00270BE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E27" w:rsidRDefault="00DA1E27"/>
  </w:endnote>
  <w:endnote w:type="continuationSeparator" w:id="0">
    <w:p w:rsidR="00DA1E27" w:rsidRDefault="00DA1E27"/>
  </w:endnote>
  <w:endnote w:type="continuationNotice" w:id="1">
    <w:p w:rsidR="00DA1E27" w:rsidRDefault="00DA1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BD5" w:rsidRPr="00270BEF" w:rsidRDefault="000F3BD5" w:rsidP="00270BEF">
    <w:pPr>
      <w:pStyle w:val="Footer"/>
      <w:tabs>
        <w:tab w:val="right" w:pos="9638"/>
      </w:tabs>
    </w:pPr>
    <w:r w:rsidRPr="00270BEF">
      <w:rPr>
        <w:b/>
        <w:sz w:val="18"/>
      </w:rPr>
      <w:fldChar w:fldCharType="begin"/>
    </w:r>
    <w:r w:rsidRPr="00270BEF">
      <w:rPr>
        <w:b/>
        <w:sz w:val="18"/>
      </w:rPr>
      <w:instrText xml:space="preserve"> PAGE  \* MERGEFORMAT </w:instrText>
    </w:r>
    <w:r w:rsidRPr="00270BEF">
      <w:rPr>
        <w:b/>
        <w:sz w:val="18"/>
      </w:rPr>
      <w:fldChar w:fldCharType="separate"/>
    </w:r>
    <w:r w:rsidR="00005D47">
      <w:rPr>
        <w:b/>
        <w:noProof/>
        <w:sz w:val="18"/>
      </w:rPr>
      <w:t>12</w:t>
    </w:r>
    <w:r w:rsidRPr="00270BEF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BD5" w:rsidRPr="00270BEF" w:rsidRDefault="000F3BD5" w:rsidP="00270BEF">
    <w:pPr>
      <w:pStyle w:val="Footer"/>
      <w:tabs>
        <w:tab w:val="right" w:pos="9638"/>
      </w:tabs>
      <w:rPr>
        <w:b/>
        <w:sz w:val="18"/>
      </w:rPr>
    </w:pPr>
    <w:r>
      <w:tab/>
    </w:r>
    <w:r w:rsidRPr="00270BEF">
      <w:rPr>
        <w:b/>
        <w:sz w:val="18"/>
      </w:rPr>
      <w:fldChar w:fldCharType="begin"/>
    </w:r>
    <w:r w:rsidRPr="00270BEF">
      <w:rPr>
        <w:b/>
        <w:sz w:val="18"/>
      </w:rPr>
      <w:instrText xml:space="preserve"> PAGE  \* MERGEFORMAT </w:instrText>
    </w:r>
    <w:r w:rsidRPr="00270BEF">
      <w:rPr>
        <w:b/>
        <w:sz w:val="18"/>
      </w:rPr>
      <w:fldChar w:fldCharType="separate"/>
    </w:r>
    <w:r w:rsidR="00005D47">
      <w:rPr>
        <w:b/>
        <w:noProof/>
        <w:sz w:val="18"/>
      </w:rPr>
      <w:t>13</w:t>
    </w:r>
    <w:r w:rsidRPr="00270BEF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BD5" w:rsidRPr="00270BEF" w:rsidRDefault="00207F5F">
    <w:r>
      <w:rPr>
        <w:noProof/>
        <w:lang w:val="uk-UA" w:eastAsia="uk-UA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5148580</wp:posOffset>
          </wp:positionH>
          <wp:positionV relativeFrom="paragraph">
            <wp:posOffset>-79375</wp:posOffset>
          </wp:positionV>
          <wp:extent cx="930275" cy="230505"/>
          <wp:effectExtent l="0" t="0" r="3175" b="0"/>
          <wp:wrapNone/>
          <wp:docPr id="1" name="Picture 2" descr="recycle_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230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BD5">
      <w:t>GE.15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E27" w:rsidRPr="000B175B" w:rsidRDefault="00DA1E27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DA1E27" w:rsidRPr="00FC68B7" w:rsidRDefault="00DA1E27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DA1E27" w:rsidRDefault="00DA1E27"/>
  </w:footnote>
  <w:footnote w:id="2">
    <w:p w:rsidR="000F3BD5" w:rsidRDefault="000F3BD5" w:rsidP="00E72B1D">
      <w:pPr>
        <w:pStyle w:val="FootnoteText"/>
      </w:pPr>
      <w:r w:rsidRPr="00813527">
        <w:rPr>
          <w:rStyle w:val="FootnoteReference"/>
        </w:rPr>
        <w:tab/>
      </w:r>
      <w:r w:rsidRPr="00813527">
        <w:rPr>
          <w:rStyle w:val="FootnoteReference"/>
          <w:sz w:val="20"/>
        </w:rPr>
        <w:t>*</w:t>
      </w:r>
      <w:r w:rsidRPr="00813527">
        <w:tab/>
      </w:r>
      <w:r>
        <w:rPr>
          <w:lang w:val="uk-UA"/>
        </w:rPr>
        <w:t>Прийняті Комітетом на його чотирнадцятій сесії</w:t>
      </w:r>
      <w:r w:rsidRPr="00813527">
        <w:t xml:space="preserve"> (</w:t>
      </w:r>
      <w:r>
        <w:rPr>
          <w:lang w:val="uk-UA"/>
        </w:rPr>
        <w:t xml:space="preserve">з </w:t>
      </w:r>
      <w:r w:rsidRPr="00813527">
        <w:t xml:space="preserve">17 </w:t>
      </w:r>
      <w:r>
        <w:rPr>
          <w:lang w:val="uk-UA"/>
        </w:rPr>
        <w:t>серпня по</w:t>
      </w:r>
      <w:r w:rsidRPr="00813527">
        <w:t xml:space="preserve"> 4</w:t>
      </w:r>
      <w:r>
        <w:rPr>
          <w:lang w:val="uk-UA"/>
        </w:rPr>
        <w:t xml:space="preserve"> вересня</w:t>
      </w:r>
      <w:r w:rsidRPr="00813527">
        <w:t xml:space="preserve"> 2015</w:t>
      </w:r>
      <w:r>
        <w:t xml:space="preserve"> року</w:t>
      </w:r>
      <w:r w:rsidRPr="00813527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BD5" w:rsidRPr="00270BEF" w:rsidRDefault="000F3BD5">
    <w:pPr>
      <w:pStyle w:val="Header"/>
    </w:pPr>
    <w:r>
      <w:t>CRPD/C/UKR/CO/1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BD5" w:rsidRPr="00270BEF" w:rsidRDefault="000F3BD5" w:rsidP="00270BEF">
    <w:pPr>
      <w:pStyle w:val="Header"/>
      <w:jc w:val="right"/>
    </w:pPr>
    <w:r>
      <w:t>CRPD/C/UKR/CO/1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6748CC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2595D"/>
    <w:multiLevelType w:val="hybridMultilevel"/>
    <w:tmpl w:val="30906122"/>
    <w:lvl w:ilvl="0" w:tplc="2118FD9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 w:val="0"/>
        <w:i w:val="0"/>
        <w:strike w:val="0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" w15:restartNumberingAfterBreak="0">
    <w:nsid w:val="25683EEC"/>
    <w:multiLevelType w:val="hybridMultilevel"/>
    <w:tmpl w:val="9F40CFA4"/>
    <w:lvl w:ilvl="0" w:tplc="644087CE">
      <w:start w:val="1"/>
      <w:numFmt w:val="lowerLetter"/>
      <w:lvlText w:val="(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445230BA"/>
    <w:multiLevelType w:val="hybridMultilevel"/>
    <w:tmpl w:val="4CFA90AC"/>
    <w:lvl w:ilvl="0" w:tplc="A776F1F8">
      <w:start w:val="1"/>
      <w:numFmt w:val="lowerLetter"/>
      <w:lvlText w:val="(%1)"/>
      <w:lvlJc w:val="left"/>
      <w:pPr>
        <w:ind w:left="1854" w:hanging="360"/>
      </w:pPr>
      <w:rPr>
        <w:rFonts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5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22366"/>
    <w:multiLevelType w:val="hybridMultilevel"/>
    <w:tmpl w:val="0BA0662C"/>
    <w:lvl w:ilvl="0" w:tplc="2118FD9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 w:val="0"/>
        <w:i w:val="0"/>
        <w:strike w:val="0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EF"/>
    <w:rsid w:val="0000273B"/>
    <w:rsid w:val="000059BD"/>
    <w:rsid w:val="00005D47"/>
    <w:rsid w:val="0001174B"/>
    <w:rsid w:val="00015146"/>
    <w:rsid w:val="00015DA6"/>
    <w:rsid w:val="0002257C"/>
    <w:rsid w:val="00023906"/>
    <w:rsid w:val="00030B6B"/>
    <w:rsid w:val="00030DB0"/>
    <w:rsid w:val="00032FF2"/>
    <w:rsid w:val="00041025"/>
    <w:rsid w:val="00050F6B"/>
    <w:rsid w:val="000668D6"/>
    <w:rsid w:val="000726E5"/>
    <w:rsid w:val="00072C8C"/>
    <w:rsid w:val="000733B5"/>
    <w:rsid w:val="000743A4"/>
    <w:rsid w:val="00077485"/>
    <w:rsid w:val="00080DA7"/>
    <w:rsid w:val="00085A77"/>
    <w:rsid w:val="00085E14"/>
    <w:rsid w:val="000910DB"/>
    <w:rsid w:val="000931C0"/>
    <w:rsid w:val="000932B9"/>
    <w:rsid w:val="000A490C"/>
    <w:rsid w:val="000A5D3B"/>
    <w:rsid w:val="000A7BAB"/>
    <w:rsid w:val="000B175B"/>
    <w:rsid w:val="000B3A0F"/>
    <w:rsid w:val="000B4EF7"/>
    <w:rsid w:val="000C1462"/>
    <w:rsid w:val="000C212D"/>
    <w:rsid w:val="000C2743"/>
    <w:rsid w:val="000C2D2E"/>
    <w:rsid w:val="000C448E"/>
    <w:rsid w:val="000D2676"/>
    <w:rsid w:val="000D3787"/>
    <w:rsid w:val="000D73C9"/>
    <w:rsid w:val="000E00D4"/>
    <w:rsid w:val="000E0415"/>
    <w:rsid w:val="000E4BE0"/>
    <w:rsid w:val="000F0C64"/>
    <w:rsid w:val="000F3BD5"/>
    <w:rsid w:val="0010510C"/>
    <w:rsid w:val="001077A0"/>
    <w:rsid w:val="001103AA"/>
    <w:rsid w:val="001151F9"/>
    <w:rsid w:val="00143A30"/>
    <w:rsid w:val="001448F5"/>
    <w:rsid w:val="00147B06"/>
    <w:rsid w:val="00155467"/>
    <w:rsid w:val="00164040"/>
    <w:rsid w:val="00166637"/>
    <w:rsid w:val="00170FDB"/>
    <w:rsid w:val="00180D95"/>
    <w:rsid w:val="0018711F"/>
    <w:rsid w:val="0019007D"/>
    <w:rsid w:val="00190B8C"/>
    <w:rsid w:val="001A5EC3"/>
    <w:rsid w:val="001B3747"/>
    <w:rsid w:val="001B4B04"/>
    <w:rsid w:val="001C6663"/>
    <w:rsid w:val="001C7895"/>
    <w:rsid w:val="001D26DF"/>
    <w:rsid w:val="001D3D9D"/>
    <w:rsid w:val="001E5AA0"/>
    <w:rsid w:val="001E78CA"/>
    <w:rsid w:val="001F4588"/>
    <w:rsid w:val="001F59FD"/>
    <w:rsid w:val="00202DA8"/>
    <w:rsid w:val="00205DDC"/>
    <w:rsid w:val="00207F5F"/>
    <w:rsid w:val="00211E0B"/>
    <w:rsid w:val="00232D5E"/>
    <w:rsid w:val="00233AAA"/>
    <w:rsid w:val="0023671B"/>
    <w:rsid w:val="0024024E"/>
    <w:rsid w:val="002410E3"/>
    <w:rsid w:val="0024460A"/>
    <w:rsid w:val="002449F6"/>
    <w:rsid w:val="00245BCC"/>
    <w:rsid w:val="00252550"/>
    <w:rsid w:val="0025756B"/>
    <w:rsid w:val="0026190B"/>
    <w:rsid w:val="00263547"/>
    <w:rsid w:val="00266976"/>
    <w:rsid w:val="00270BEF"/>
    <w:rsid w:val="00272B41"/>
    <w:rsid w:val="002732D7"/>
    <w:rsid w:val="00275950"/>
    <w:rsid w:val="00285E60"/>
    <w:rsid w:val="00287A04"/>
    <w:rsid w:val="0029139B"/>
    <w:rsid w:val="002917F6"/>
    <w:rsid w:val="002A5DE1"/>
    <w:rsid w:val="002A6074"/>
    <w:rsid w:val="002B4920"/>
    <w:rsid w:val="002B5D3C"/>
    <w:rsid w:val="002C4EE2"/>
    <w:rsid w:val="002D0087"/>
    <w:rsid w:val="002D371A"/>
    <w:rsid w:val="002D3AC0"/>
    <w:rsid w:val="002D5E9F"/>
    <w:rsid w:val="002E1E3D"/>
    <w:rsid w:val="002E59F9"/>
    <w:rsid w:val="002E5C7D"/>
    <w:rsid w:val="002F175C"/>
    <w:rsid w:val="002F235D"/>
    <w:rsid w:val="00304281"/>
    <w:rsid w:val="00310D57"/>
    <w:rsid w:val="003229D8"/>
    <w:rsid w:val="00322A35"/>
    <w:rsid w:val="00323AE6"/>
    <w:rsid w:val="0032655E"/>
    <w:rsid w:val="00330682"/>
    <w:rsid w:val="00332EAA"/>
    <w:rsid w:val="003348EE"/>
    <w:rsid w:val="00335926"/>
    <w:rsid w:val="0033799D"/>
    <w:rsid w:val="00342FB5"/>
    <w:rsid w:val="00350357"/>
    <w:rsid w:val="0035169C"/>
    <w:rsid w:val="00352709"/>
    <w:rsid w:val="00356C3C"/>
    <w:rsid w:val="00356F4F"/>
    <w:rsid w:val="003636E6"/>
    <w:rsid w:val="00371178"/>
    <w:rsid w:val="00371FCB"/>
    <w:rsid w:val="00380C68"/>
    <w:rsid w:val="003846F4"/>
    <w:rsid w:val="0038573F"/>
    <w:rsid w:val="00393D79"/>
    <w:rsid w:val="003943C0"/>
    <w:rsid w:val="003A2356"/>
    <w:rsid w:val="003A476C"/>
    <w:rsid w:val="003A4810"/>
    <w:rsid w:val="003A51CB"/>
    <w:rsid w:val="003A5719"/>
    <w:rsid w:val="003A6810"/>
    <w:rsid w:val="003B47E6"/>
    <w:rsid w:val="003B679A"/>
    <w:rsid w:val="003B7CA6"/>
    <w:rsid w:val="003C0F9E"/>
    <w:rsid w:val="003C2CC4"/>
    <w:rsid w:val="003C344D"/>
    <w:rsid w:val="003D4B23"/>
    <w:rsid w:val="003D7D6A"/>
    <w:rsid w:val="003E19F2"/>
    <w:rsid w:val="003E31F6"/>
    <w:rsid w:val="003E4AAC"/>
    <w:rsid w:val="003E64E6"/>
    <w:rsid w:val="003E74CC"/>
    <w:rsid w:val="00400D7C"/>
    <w:rsid w:val="00401C47"/>
    <w:rsid w:val="004045B2"/>
    <w:rsid w:val="00404685"/>
    <w:rsid w:val="00405DDC"/>
    <w:rsid w:val="00410C89"/>
    <w:rsid w:val="00411819"/>
    <w:rsid w:val="004162A6"/>
    <w:rsid w:val="004325CB"/>
    <w:rsid w:val="00444447"/>
    <w:rsid w:val="0045081B"/>
    <w:rsid w:val="00450932"/>
    <w:rsid w:val="0045495B"/>
    <w:rsid w:val="00456F56"/>
    <w:rsid w:val="004622C0"/>
    <w:rsid w:val="00464468"/>
    <w:rsid w:val="004670E2"/>
    <w:rsid w:val="00472CA8"/>
    <w:rsid w:val="0047466C"/>
    <w:rsid w:val="004824E3"/>
    <w:rsid w:val="00485851"/>
    <w:rsid w:val="00485DDC"/>
    <w:rsid w:val="004866CF"/>
    <w:rsid w:val="0049056A"/>
    <w:rsid w:val="00495B22"/>
    <w:rsid w:val="00497213"/>
    <w:rsid w:val="004A584E"/>
    <w:rsid w:val="004B311A"/>
    <w:rsid w:val="004C25FE"/>
    <w:rsid w:val="004C5BB5"/>
    <w:rsid w:val="004C6A56"/>
    <w:rsid w:val="004C7C86"/>
    <w:rsid w:val="004D170D"/>
    <w:rsid w:val="004D25E4"/>
    <w:rsid w:val="004D2629"/>
    <w:rsid w:val="004D3091"/>
    <w:rsid w:val="004D6C2E"/>
    <w:rsid w:val="004F120A"/>
    <w:rsid w:val="004F3B15"/>
    <w:rsid w:val="004F7C80"/>
    <w:rsid w:val="00507C29"/>
    <w:rsid w:val="005151E0"/>
    <w:rsid w:val="005161BC"/>
    <w:rsid w:val="00517B36"/>
    <w:rsid w:val="00520182"/>
    <w:rsid w:val="00532539"/>
    <w:rsid w:val="0053655C"/>
    <w:rsid w:val="005420F2"/>
    <w:rsid w:val="00544B59"/>
    <w:rsid w:val="005546A7"/>
    <w:rsid w:val="00581A75"/>
    <w:rsid w:val="00583033"/>
    <w:rsid w:val="005A0731"/>
    <w:rsid w:val="005A35B4"/>
    <w:rsid w:val="005A653A"/>
    <w:rsid w:val="005B1353"/>
    <w:rsid w:val="005B2C44"/>
    <w:rsid w:val="005B3DB3"/>
    <w:rsid w:val="005C6A79"/>
    <w:rsid w:val="005E6B7D"/>
    <w:rsid w:val="005E77AF"/>
    <w:rsid w:val="005F2F5F"/>
    <w:rsid w:val="006001EE"/>
    <w:rsid w:val="00603A00"/>
    <w:rsid w:val="00603F36"/>
    <w:rsid w:val="00603F44"/>
    <w:rsid w:val="00605574"/>
    <w:rsid w:val="00606301"/>
    <w:rsid w:val="00611FC4"/>
    <w:rsid w:val="006176FB"/>
    <w:rsid w:val="00622062"/>
    <w:rsid w:val="00622DD2"/>
    <w:rsid w:val="00630C19"/>
    <w:rsid w:val="00637244"/>
    <w:rsid w:val="00640B26"/>
    <w:rsid w:val="00642705"/>
    <w:rsid w:val="00644F32"/>
    <w:rsid w:val="00646687"/>
    <w:rsid w:val="0065060A"/>
    <w:rsid w:val="006538BE"/>
    <w:rsid w:val="0066080A"/>
    <w:rsid w:val="00667387"/>
    <w:rsid w:val="006677D7"/>
    <w:rsid w:val="006704C4"/>
    <w:rsid w:val="00670C71"/>
    <w:rsid w:val="006771B4"/>
    <w:rsid w:val="00677550"/>
    <w:rsid w:val="006824B6"/>
    <w:rsid w:val="006923D0"/>
    <w:rsid w:val="00693D63"/>
    <w:rsid w:val="00693E23"/>
    <w:rsid w:val="00697E2D"/>
    <w:rsid w:val="006A28D9"/>
    <w:rsid w:val="006A41FC"/>
    <w:rsid w:val="006A7367"/>
    <w:rsid w:val="006B1390"/>
    <w:rsid w:val="006B1AE6"/>
    <w:rsid w:val="006B4DE4"/>
    <w:rsid w:val="006C2302"/>
    <w:rsid w:val="006C5F51"/>
    <w:rsid w:val="006E4DE8"/>
    <w:rsid w:val="006E564B"/>
    <w:rsid w:val="006E7CF1"/>
    <w:rsid w:val="006F26C7"/>
    <w:rsid w:val="006F315E"/>
    <w:rsid w:val="006F3F1F"/>
    <w:rsid w:val="006F4100"/>
    <w:rsid w:val="006F45D3"/>
    <w:rsid w:val="006F7FC3"/>
    <w:rsid w:val="00700176"/>
    <w:rsid w:val="0070154E"/>
    <w:rsid w:val="00701683"/>
    <w:rsid w:val="007065F8"/>
    <w:rsid w:val="00712060"/>
    <w:rsid w:val="00721B67"/>
    <w:rsid w:val="00721F7C"/>
    <w:rsid w:val="0072632A"/>
    <w:rsid w:val="00726FC7"/>
    <w:rsid w:val="00740194"/>
    <w:rsid w:val="00757DC6"/>
    <w:rsid w:val="007804D5"/>
    <w:rsid w:val="00782DFA"/>
    <w:rsid w:val="00796C77"/>
    <w:rsid w:val="007B6BA5"/>
    <w:rsid w:val="007C3390"/>
    <w:rsid w:val="007C4F4B"/>
    <w:rsid w:val="007E5B8E"/>
    <w:rsid w:val="007F3CEE"/>
    <w:rsid w:val="007F59C9"/>
    <w:rsid w:val="007F6611"/>
    <w:rsid w:val="0080178E"/>
    <w:rsid w:val="00802E6C"/>
    <w:rsid w:val="00803627"/>
    <w:rsid w:val="00803A8C"/>
    <w:rsid w:val="00811205"/>
    <w:rsid w:val="00813527"/>
    <w:rsid w:val="0081393C"/>
    <w:rsid w:val="00817077"/>
    <w:rsid w:val="008242D7"/>
    <w:rsid w:val="008407AB"/>
    <w:rsid w:val="00842CC9"/>
    <w:rsid w:val="00846D38"/>
    <w:rsid w:val="0085226B"/>
    <w:rsid w:val="00854A35"/>
    <w:rsid w:val="0085723D"/>
    <w:rsid w:val="00862B76"/>
    <w:rsid w:val="0087186C"/>
    <w:rsid w:val="008761A6"/>
    <w:rsid w:val="00876956"/>
    <w:rsid w:val="008979B1"/>
    <w:rsid w:val="008A6B25"/>
    <w:rsid w:val="008A6C4F"/>
    <w:rsid w:val="008A7AD3"/>
    <w:rsid w:val="008B2335"/>
    <w:rsid w:val="008C15D9"/>
    <w:rsid w:val="008C3730"/>
    <w:rsid w:val="008C4480"/>
    <w:rsid w:val="008C6E31"/>
    <w:rsid w:val="008E3FBB"/>
    <w:rsid w:val="008E6302"/>
    <w:rsid w:val="008F3E4D"/>
    <w:rsid w:val="008F6FFE"/>
    <w:rsid w:val="00901BDD"/>
    <w:rsid w:val="00902155"/>
    <w:rsid w:val="00903DDA"/>
    <w:rsid w:val="00910E82"/>
    <w:rsid w:val="009223CA"/>
    <w:rsid w:val="00940F93"/>
    <w:rsid w:val="00973A95"/>
    <w:rsid w:val="00974068"/>
    <w:rsid w:val="00974435"/>
    <w:rsid w:val="009769D3"/>
    <w:rsid w:val="00977227"/>
    <w:rsid w:val="00981C4D"/>
    <w:rsid w:val="00987B66"/>
    <w:rsid w:val="0099176A"/>
    <w:rsid w:val="009A7887"/>
    <w:rsid w:val="009B0F0E"/>
    <w:rsid w:val="009B4804"/>
    <w:rsid w:val="009C14AA"/>
    <w:rsid w:val="009C2113"/>
    <w:rsid w:val="009C5151"/>
    <w:rsid w:val="009E5D8F"/>
    <w:rsid w:val="009E7DB6"/>
    <w:rsid w:val="009F17EE"/>
    <w:rsid w:val="009F5544"/>
    <w:rsid w:val="009F7711"/>
    <w:rsid w:val="009F7C5D"/>
    <w:rsid w:val="00A01489"/>
    <w:rsid w:val="00A02A69"/>
    <w:rsid w:val="00A035B5"/>
    <w:rsid w:val="00A04C54"/>
    <w:rsid w:val="00A4579A"/>
    <w:rsid w:val="00A51597"/>
    <w:rsid w:val="00A565CD"/>
    <w:rsid w:val="00A612EE"/>
    <w:rsid w:val="00A61A50"/>
    <w:rsid w:val="00A71C11"/>
    <w:rsid w:val="00A72F22"/>
    <w:rsid w:val="00A748A6"/>
    <w:rsid w:val="00A76CAA"/>
    <w:rsid w:val="00A776B4"/>
    <w:rsid w:val="00A8100B"/>
    <w:rsid w:val="00A83323"/>
    <w:rsid w:val="00A90714"/>
    <w:rsid w:val="00A94361"/>
    <w:rsid w:val="00AB3740"/>
    <w:rsid w:val="00AC317C"/>
    <w:rsid w:val="00AC3ED2"/>
    <w:rsid w:val="00AD526F"/>
    <w:rsid w:val="00AE00BE"/>
    <w:rsid w:val="00AE58E0"/>
    <w:rsid w:val="00B00385"/>
    <w:rsid w:val="00B06775"/>
    <w:rsid w:val="00B10DE7"/>
    <w:rsid w:val="00B12209"/>
    <w:rsid w:val="00B22EFC"/>
    <w:rsid w:val="00B25085"/>
    <w:rsid w:val="00B269DA"/>
    <w:rsid w:val="00B30179"/>
    <w:rsid w:val="00B414CE"/>
    <w:rsid w:val="00B47B5D"/>
    <w:rsid w:val="00B51A74"/>
    <w:rsid w:val="00B56E9C"/>
    <w:rsid w:val="00B57E5A"/>
    <w:rsid w:val="00B6085C"/>
    <w:rsid w:val="00B63F2C"/>
    <w:rsid w:val="00B64B1F"/>
    <w:rsid w:val="00B6553F"/>
    <w:rsid w:val="00B81E12"/>
    <w:rsid w:val="00B8452A"/>
    <w:rsid w:val="00B96E9C"/>
    <w:rsid w:val="00B97131"/>
    <w:rsid w:val="00B978D6"/>
    <w:rsid w:val="00BA0C6F"/>
    <w:rsid w:val="00BA2FFE"/>
    <w:rsid w:val="00BA58CE"/>
    <w:rsid w:val="00BA60D6"/>
    <w:rsid w:val="00BA7004"/>
    <w:rsid w:val="00BC74E9"/>
    <w:rsid w:val="00BD0B17"/>
    <w:rsid w:val="00BD17D6"/>
    <w:rsid w:val="00BD3BF9"/>
    <w:rsid w:val="00BD797B"/>
    <w:rsid w:val="00BE2482"/>
    <w:rsid w:val="00BE37B8"/>
    <w:rsid w:val="00BF1432"/>
    <w:rsid w:val="00BF486A"/>
    <w:rsid w:val="00BF68A8"/>
    <w:rsid w:val="00C00286"/>
    <w:rsid w:val="00C01B2F"/>
    <w:rsid w:val="00C03195"/>
    <w:rsid w:val="00C11F03"/>
    <w:rsid w:val="00C213A4"/>
    <w:rsid w:val="00C257E4"/>
    <w:rsid w:val="00C316BC"/>
    <w:rsid w:val="00C3206E"/>
    <w:rsid w:val="00C32A37"/>
    <w:rsid w:val="00C447F3"/>
    <w:rsid w:val="00C463DD"/>
    <w:rsid w:val="00C4724C"/>
    <w:rsid w:val="00C629A0"/>
    <w:rsid w:val="00C653E9"/>
    <w:rsid w:val="00C65961"/>
    <w:rsid w:val="00C65DAA"/>
    <w:rsid w:val="00C70FEE"/>
    <w:rsid w:val="00C745C3"/>
    <w:rsid w:val="00C748FE"/>
    <w:rsid w:val="00C75FB9"/>
    <w:rsid w:val="00C806E1"/>
    <w:rsid w:val="00C80C7D"/>
    <w:rsid w:val="00C92C34"/>
    <w:rsid w:val="00CA45B1"/>
    <w:rsid w:val="00CC00AC"/>
    <w:rsid w:val="00CC535D"/>
    <w:rsid w:val="00CC7FE0"/>
    <w:rsid w:val="00CD44D3"/>
    <w:rsid w:val="00CE2CC4"/>
    <w:rsid w:val="00CE4A8F"/>
    <w:rsid w:val="00CE501B"/>
    <w:rsid w:val="00CE7A21"/>
    <w:rsid w:val="00CF5256"/>
    <w:rsid w:val="00D15981"/>
    <w:rsid w:val="00D2031B"/>
    <w:rsid w:val="00D218CB"/>
    <w:rsid w:val="00D22295"/>
    <w:rsid w:val="00D259DC"/>
    <w:rsid w:val="00D25FE2"/>
    <w:rsid w:val="00D322BC"/>
    <w:rsid w:val="00D32CD6"/>
    <w:rsid w:val="00D43252"/>
    <w:rsid w:val="00D44B7D"/>
    <w:rsid w:val="00D50D6C"/>
    <w:rsid w:val="00D51E7F"/>
    <w:rsid w:val="00D574D6"/>
    <w:rsid w:val="00D63E0B"/>
    <w:rsid w:val="00D74D1F"/>
    <w:rsid w:val="00D75577"/>
    <w:rsid w:val="00D90D66"/>
    <w:rsid w:val="00D975CF"/>
    <w:rsid w:val="00D977FF"/>
    <w:rsid w:val="00D978C6"/>
    <w:rsid w:val="00DA1913"/>
    <w:rsid w:val="00DA1E27"/>
    <w:rsid w:val="00DA3C1C"/>
    <w:rsid w:val="00DB32CE"/>
    <w:rsid w:val="00DB5C32"/>
    <w:rsid w:val="00DB66EA"/>
    <w:rsid w:val="00DC055D"/>
    <w:rsid w:val="00DC1045"/>
    <w:rsid w:val="00DD373C"/>
    <w:rsid w:val="00DF30BD"/>
    <w:rsid w:val="00DF32A8"/>
    <w:rsid w:val="00DF4AD6"/>
    <w:rsid w:val="00DF6210"/>
    <w:rsid w:val="00E1011E"/>
    <w:rsid w:val="00E12016"/>
    <w:rsid w:val="00E137A3"/>
    <w:rsid w:val="00E17238"/>
    <w:rsid w:val="00E179AA"/>
    <w:rsid w:val="00E20911"/>
    <w:rsid w:val="00E24F0A"/>
    <w:rsid w:val="00E66D63"/>
    <w:rsid w:val="00E705CD"/>
    <w:rsid w:val="00E71BC8"/>
    <w:rsid w:val="00E71E81"/>
    <w:rsid w:val="00E7260F"/>
    <w:rsid w:val="00E72B1D"/>
    <w:rsid w:val="00E739D1"/>
    <w:rsid w:val="00E73D86"/>
    <w:rsid w:val="00E76A83"/>
    <w:rsid w:val="00E9017B"/>
    <w:rsid w:val="00E96630"/>
    <w:rsid w:val="00EA4D52"/>
    <w:rsid w:val="00EB1397"/>
    <w:rsid w:val="00EB139E"/>
    <w:rsid w:val="00EB3B62"/>
    <w:rsid w:val="00EB7140"/>
    <w:rsid w:val="00EC496B"/>
    <w:rsid w:val="00ED32A3"/>
    <w:rsid w:val="00ED418B"/>
    <w:rsid w:val="00ED7A2A"/>
    <w:rsid w:val="00EE446B"/>
    <w:rsid w:val="00EE4D26"/>
    <w:rsid w:val="00EE546E"/>
    <w:rsid w:val="00EF1D7F"/>
    <w:rsid w:val="00EF20B4"/>
    <w:rsid w:val="00EF3BE7"/>
    <w:rsid w:val="00F041B0"/>
    <w:rsid w:val="00F05B8F"/>
    <w:rsid w:val="00F060F2"/>
    <w:rsid w:val="00F1056B"/>
    <w:rsid w:val="00F12FE5"/>
    <w:rsid w:val="00F17642"/>
    <w:rsid w:val="00F21732"/>
    <w:rsid w:val="00F2258A"/>
    <w:rsid w:val="00F24C78"/>
    <w:rsid w:val="00F25DB5"/>
    <w:rsid w:val="00F300C3"/>
    <w:rsid w:val="00F34583"/>
    <w:rsid w:val="00F44FA4"/>
    <w:rsid w:val="00F504DF"/>
    <w:rsid w:val="00F518D1"/>
    <w:rsid w:val="00F525CC"/>
    <w:rsid w:val="00F609D6"/>
    <w:rsid w:val="00F613FD"/>
    <w:rsid w:val="00F6518D"/>
    <w:rsid w:val="00F81534"/>
    <w:rsid w:val="00F858C4"/>
    <w:rsid w:val="00F91C6C"/>
    <w:rsid w:val="00F93E71"/>
    <w:rsid w:val="00FA20D5"/>
    <w:rsid w:val="00FA271C"/>
    <w:rsid w:val="00FA5C85"/>
    <w:rsid w:val="00FA6399"/>
    <w:rsid w:val="00FB457B"/>
    <w:rsid w:val="00FC11AC"/>
    <w:rsid w:val="00FC534D"/>
    <w:rsid w:val="00FC68B7"/>
    <w:rsid w:val="00FD5651"/>
    <w:rsid w:val="00FF4BD9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13278BA-3EFF-410D-AA19-D544B98C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A4"/>
    <w:pPr>
      <w:suppressAutoHyphens/>
      <w:spacing w:line="240" w:lineRule="atLeast"/>
    </w:pPr>
    <w:rPr>
      <w:sz w:val="20"/>
      <w:szCs w:val="20"/>
      <w:lang w:val="en-GB" w:eastAsia="en-US"/>
    </w:rPr>
  </w:style>
  <w:style w:type="paragraph" w:styleId="Heading1">
    <w:name w:val="heading 1"/>
    <w:aliases w:val="Table_G"/>
    <w:basedOn w:val="SingleTxtG"/>
    <w:next w:val="SingleTxtG"/>
    <w:link w:val="Heading1Char"/>
    <w:uiPriority w:val="99"/>
    <w:qFormat/>
    <w:rsid w:val="00C213A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213A4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213A4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213A4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213A4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213A4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C213A4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213A4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C213A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basedOn w:val="DefaultParagraphFont"/>
    <w:link w:val="Heading1"/>
    <w:uiPriority w:val="99"/>
    <w:locked/>
    <w:rsid w:val="008761A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61A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61A6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61A6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61A6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761A6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61A6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61A6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61A6"/>
    <w:rPr>
      <w:rFonts w:ascii="Cambria" w:hAnsi="Cambria" w:cs="Times New Roman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D44B7D"/>
    <w:pPr>
      <w:spacing w:line="240" w:lineRule="auto"/>
    </w:pPr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4B7D"/>
    <w:rPr>
      <w:rFonts w:ascii="Tahoma" w:hAnsi="Tahoma" w:cs="Times New Roman"/>
      <w:sz w:val="16"/>
      <w:lang w:eastAsia="en-US"/>
    </w:rPr>
  </w:style>
  <w:style w:type="paragraph" w:customStyle="1" w:styleId="SingleTxtG">
    <w:name w:val="_ Single Txt_G"/>
    <w:basedOn w:val="Normal"/>
    <w:uiPriority w:val="99"/>
    <w:rsid w:val="00C213A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uiPriority w:val="99"/>
    <w:rsid w:val="00C213A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uiPriority w:val="99"/>
    <w:rsid w:val="00C213A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basedOn w:val="DefaultParagraphFont"/>
    <w:uiPriority w:val="99"/>
    <w:rsid w:val="00C213A4"/>
    <w:rPr>
      <w:rFonts w:ascii="Times New Roman" w:hAnsi="Times New Roman" w:cs="Times New Roman"/>
      <w:sz w:val="18"/>
      <w:vertAlign w:val="superscript"/>
    </w:rPr>
  </w:style>
  <w:style w:type="character" w:styleId="EndnoteReference">
    <w:name w:val="endnote reference"/>
    <w:aliases w:val="1_G"/>
    <w:basedOn w:val="DefaultParagraphFont"/>
    <w:uiPriority w:val="99"/>
    <w:rsid w:val="00C213A4"/>
    <w:rPr>
      <w:rFonts w:ascii="Times New Roman" w:hAnsi="Times New Roman" w:cs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uiPriority w:val="99"/>
    <w:rsid w:val="00C213A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semiHidden/>
    <w:locked/>
    <w:rsid w:val="008761A6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semiHidden/>
    <w:rsid w:val="00C213A4"/>
    <w:pPr>
      <w:suppressAutoHyphens/>
      <w:spacing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rsid w:val="00C213A4"/>
    <w:rPr>
      <w:rFonts w:cs="Times New Roman"/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rsid w:val="00C213A4"/>
    <w:rPr>
      <w:rFonts w:cs="Times New Roman"/>
      <w:color w:val="auto"/>
      <w:u w:val="none"/>
    </w:rPr>
  </w:style>
  <w:style w:type="paragraph" w:customStyle="1" w:styleId="SMG">
    <w:name w:val="__S_M_G"/>
    <w:basedOn w:val="Normal"/>
    <w:next w:val="Normal"/>
    <w:uiPriority w:val="99"/>
    <w:rsid w:val="00C213A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uiPriority w:val="99"/>
    <w:rsid w:val="00C213A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uiPriority w:val="99"/>
    <w:rsid w:val="00C213A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213A4"/>
    <w:pPr>
      <w:tabs>
        <w:tab w:val="right" w:pos="1021"/>
      </w:tabs>
      <w:spacing w:line="220" w:lineRule="exact"/>
      <w:ind w:left="1134" w:right="1134" w:hanging="1134"/>
    </w:pPr>
    <w:rPr>
      <w:sz w:val="18"/>
      <w:lang w:val="ru-RU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locked/>
    <w:rsid w:val="00270BEF"/>
    <w:rPr>
      <w:rFonts w:cs="Times New Roman"/>
      <w:sz w:val="18"/>
      <w:lang w:eastAsia="en-US"/>
    </w:rPr>
  </w:style>
  <w:style w:type="paragraph" w:styleId="EndnoteText">
    <w:name w:val="endnote text"/>
    <w:aliases w:val="2_G"/>
    <w:basedOn w:val="FootnoteText"/>
    <w:link w:val="EndnoteTextChar"/>
    <w:uiPriority w:val="99"/>
    <w:rsid w:val="00C213A4"/>
  </w:style>
  <w:style w:type="character" w:customStyle="1" w:styleId="EndnoteTextChar">
    <w:name w:val="Endnote Text Char"/>
    <w:aliases w:val="2_G Char"/>
    <w:basedOn w:val="DefaultParagraphFont"/>
    <w:link w:val="EndnoteText"/>
    <w:uiPriority w:val="99"/>
    <w:semiHidden/>
    <w:locked/>
    <w:rsid w:val="008761A6"/>
    <w:rPr>
      <w:rFonts w:cs="Times New Roman"/>
      <w:sz w:val="20"/>
      <w:szCs w:val="20"/>
      <w:lang w:val="en-GB" w:eastAsia="en-US"/>
    </w:rPr>
  </w:style>
  <w:style w:type="character" w:styleId="PageNumber">
    <w:name w:val="page number"/>
    <w:aliases w:val="7_G"/>
    <w:basedOn w:val="DefaultParagraphFont"/>
    <w:uiPriority w:val="99"/>
    <w:rsid w:val="00C213A4"/>
    <w:rPr>
      <w:rFonts w:ascii="Times New Roman" w:hAnsi="Times New Roman" w:cs="Times New Roman"/>
      <w:b/>
      <w:sz w:val="18"/>
    </w:rPr>
  </w:style>
  <w:style w:type="paragraph" w:customStyle="1" w:styleId="XLargeG">
    <w:name w:val="__XLarge_G"/>
    <w:basedOn w:val="Normal"/>
    <w:next w:val="Normal"/>
    <w:uiPriority w:val="99"/>
    <w:rsid w:val="00C213A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uiPriority w:val="99"/>
    <w:rsid w:val="00C213A4"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uiPriority w:val="99"/>
    <w:rsid w:val="00C213A4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semiHidden/>
    <w:locked/>
    <w:rsid w:val="008761A6"/>
    <w:rPr>
      <w:rFonts w:cs="Times New Roman"/>
      <w:sz w:val="20"/>
      <w:szCs w:val="20"/>
      <w:lang w:val="en-GB" w:eastAsia="en-US"/>
    </w:rPr>
  </w:style>
  <w:style w:type="paragraph" w:customStyle="1" w:styleId="Bullet2G">
    <w:name w:val="_Bullet 2_G"/>
    <w:basedOn w:val="Normal"/>
    <w:uiPriority w:val="99"/>
    <w:rsid w:val="00C213A4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uiPriority w:val="99"/>
    <w:rsid w:val="00C213A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uiPriority w:val="99"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uiPriority w:val="99"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uiPriority w:val="99"/>
    <w:rsid w:val="00C213A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CommentText">
    <w:name w:val="annotation text"/>
    <w:basedOn w:val="Normal"/>
    <w:link w:val="CommentTextChar"/>
    <w:uiPriority w:val="99"/>
    <w:rsid w:val="0024024E"/>
    <w:rPr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4024E"/>
    <w:rPr>
      <w:rFonts w:cs="Times New Roman"/>
      <w:lang w:eastAsia="en-US"/>
    </w:rPr>
  </w:style>
  <w:style w:type="character" w:styleId="CommentReference">
    <w:name w:val="annotation reference"/>
    <w:basedOn w:val="DefaultParagraphFont"/>
    <w:uiPriority w:val="99"/>
    <w:rsid w:val="005E6B7D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E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E6B7D"/>
    <w:rPr>
      <w:rFonts w:cs="Times New Roman"/>
      <w:b/>
      <w:lang w:eastAsia="en-US"/>
    </w:rPr>
  </w:style>
  <w:style w:type="character" w:customStyle="1" w:styleId="hps">
    <w:name w:val="hps"/>
    <w:uiPriority w:val="99"/>
    <w:rsid w:val="00A71C11"/>
  </w:style>
  <w:style w:type="character" w:styleId="Emphasis">
    <w:name w:val="Emphasis"/>
    <w:basedOn w:val="DefaultParagraphFont"/>
    <w:uiPriority w:val="99"/>
    <w:qFormat/>
    <w:rsid w:val="003A476C"/>
    <w:rPr>
      <w:rFonts w:cs="Times New Roman"/>
      <w:b/>
    </w:rPr>
  </w:style>
  <w:style w:type="character" w:customStyle="1" w:styleId="st1">
    <w:name w:val="st1"/>
    <w:uiPriority w:val="99"/>
    <w:rsid w:val="003A476C"/>
  </w:style>
  <w:style w:type="character" w:customStyle="1" w:styleId="shorttext">
    <w:name w:val="short_text"/>
    <w:uiPriority w:val="99"/>
    <w:rsid w:val="0032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1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461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%20Docs%202010\CRPD_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CRPD_E.dotm</Template>
  <TotalTime>6</TotalTime>
  <Pages>13</Pages>
  <Words>17300</Words>
  <Characters>9862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</vt:lpstr>
    </vt:vector>
  </TitlesOfParts>
  <Company>CSD</Company>
  <LinksUpToDate>false</LinksUpToDate>
  <CharactersWithSpaces>27108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subject/>
  <dc:creator>Robert Ouko</dc:creator>
  <cp:keywords/>
  <dc:description/>
  <cp:lastModifiedBy>pc</cp:lastModifiedBy>
  <cp:revision>4</cp:revision>
  <cp:lastPrinted>2015-09-16T12:18:00Z</cp:lastPrinted>
  <dcterms:created xsi:type="dcterms:W3CDTF">2015-09-16T13:36:00Z</dcterms:created>
  <dcterms:modified xsi:type="dcterms:W3CDTF">2015-09-16T13:41:00Z</dcterms:modified>
</cp:coreProperties>
</file>